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31F1" w14:textId="4D65A0E0" w:rsidR="003A23A1" w:rsidRPr="00834AFA" w:rsidRDefault="003A23A1" w:rsidP="008D3968">
      <w:pPr>
        <w:shd w:val="clear" w:color="auto" w:fill="FFFFFF"/>
        <w:spacing w:after="0" w:line="240" w:lineRule="auto"/>
        <w:jc w:val="center"/>
        <w:textAlignment w:val="baseline"/>
        <w:outlineLvl w:val="1"/>
        <w:rPr>
          <w:rFonts w:ascii="Trebuchet MS" w:eastAsia="Times New Roman" w:hAnsi="Trebuchet MS" w:cs="Arial"/>
          <w:b/>
          <w:bCs/>
          <w:color w:val="0B0C0C"/>
          <w:lang w:eastAsia="en-GB"/>
        </w:rPr>
      </w:pPr>
      <w:r w:rsidRPr="00834AFA">
        <w:rPr>
          <w:rFonts w:ascii="Trebuchet MS" w:eastAsia="Times New Roman" w:hAnsi="Trebuchet MS" w:cs="Arial"/>
          <w:b/>
          <w:bCs/>
          <w:color w:val="0B0C0C"/>
          <w:lang w:eastAsia="en-GB"/>
        </w:rPr>
        <w:t xml:space="preserve">School Financial Benchmarking Comparisons for </w:t>
      </w:r>
      <w:r w:rsidR="007E21FA">
        <w:rPr>
          <w:rFonts w:ascii="Trebuchet MS" w:eastAsia="Times New Roman" w:hAnsi="Trebuchet MS" w:cs="Arial"/>
          <w:b/>
          <w:bCs/>
          <w:color w:val="0B0C0C"/>
          <w:lang w:eastAsia="en-GB"/>
        </w:rPr>
        <w:t>2023-24</w:t>
      </w:r>
      <w:r w:rsidRPr="00834AFA">
        <w:rPr>
          <w:rFonts w:ascii="Trebuchet MS" w:eastAsia="Times New Roman" w:hAnsi="Trebuchet MS" w:cs="Arial"/>
          <w:b/>
          <w:bCs/>
          <w:color w:val="0B0C0C"/>
          <w:lang w:eastAsia="en-GB"/>
        </w:rPr>
        <w:t xml:space="preserve"> Budget Planning</w:t>
      </w:r>
    </w:p>
    <w:p w14:paraId="368DE9AF" w14:textId="7A92A1EC" w:rsidR="00F25369" w:rsidRPr="00834AFA" w:rsidRDefault="003A23A1" w:rsidP="00F25369">
      <w:pPr>
        <w:spacing w:before="220" w:after="0" w:line="216" w:lineRule="auto"/>
        <w:rPr>
          <w:rFonts w:ascii="Trebuchet MS" w:eastAsia="Times New Roman" w:hAnsi="Trebuchet MS" w:cs="Times New Roman"/>
          <w:lang w:eastAsia="en-GB"/>
        </w:rPr>
      </w:pPr>
      <w:r w:rsidRPr="003A23A1">
        <w:rPr>
          <w:rFonts w:ascii="Trebuchet MS" w:eastAsia="+mn-ea" w:hAnsi="Trebuchet MS" w:cs="+mn-cs"/>
          <w:color w:val="000000"/>
          <w:kern w:val="24"/>
          <w:lang w:eastAsia="en-GB"/>
        </w:rPr>
        <w:t xml:space="preserve">There are tools available to help you see how your school spends its money and the outcomes it achieves against other schools. </w:t>
      </w:r>
      <w:r w:rsidRPr="00834AFA">
        <w:rPr>
          <w:rFonts w:ascii="Trebuchet MS" w:eastAsia="+mn-ea" w:hAnsi="Trebuchet MS" w:cs="+mn-cs"/>
          <w:color w:val="000000"/>
          <w:kern w:val="24"/>
          <w:lang w:eastAsia="en-GB"/>
        </w:rPr>
        <w:t xml:space="preserve">As part of your </w:t>
      </w:r>
      <w:r w:rsidR="007E21FA">
        <w:rPr>
          <w:rFonts w:ascii="Trebuchet MS" w:eastAsia="+mn-ea" w:hAnsi="Trebuchet MS" w:cs="+mn-cs"/>
          <w:color w:val="000000"/>
          <w:kern w:val="24"/>
          <w:lang w:eastAsia="en-GB"/>
        </w:rPr>
        <w:t>2023-24</w:t>
      </w:r>
      <w:r w:rsidRPr="00834AFA">
        <w:rPr>
          <w:rFonts w:ascii="Trebuchet MS" w:eastAsia="+mn-ea" w:hAnsi="Trebuchet MS" w:cs="+mn-cs"/>
          <w:color w:val="000000"/>
          <w:kern w:val="24"/>
          <w:lang w:eastAsia="en-GB"/>
        </w:rPr>
        <w:t xml:space="preserve"> budget planning, we would recommend that you review the </w:t>
      </w:r>
      <w:r w:rsidR="00F25369" w:rsidRPr="00834AFA">
        <w:rPr>
          <w:rFonts w:ascii="Trebuchet MS" w:eastAsia="+mn-ea" w:hAnsi="Trebuchet MS" w:cs="+mn-cs"/>
          <w:color w:val="000000"/>
          <w:kern w:val="24"/>
          <w:lang w:eastAsia="en-GB"/>
        </w:rPr>
        <w:t>Self-</w:t>
      </w:r>
      <w:r w:rsidR="00426260" w:rsidRPr="00834AFA">
        <w:rPr>
          <w:rFonts w:ascii="Trebuchet MS" w:eastAsia="+mn-ea" w:hAnsi="Trebuchet MS" w:cs="+mn-cs"/>
          <w:color w:val="000000"/>
          <w:kern w:val="24"/>
          <w:lang w:eastAsia="en-GB"/>
        </w:rPr>
        <w:t>a</w:t>
      </w:r>
      <w:r w:rsidR="00F25369" w:rsidRPr="00834AFA">
        <w:rPr>
          <w:rFonts w:ascii="Trebuchet MS" w:eastAsia="+mn-ea" w:hAnsi="Trebuchet MS" w:cs="+mn-cs"/>
          <w:color w:val="000000"/>
          <w:kern w:val="24"/>
          <w:lang w:eastAsia="en-GB"/>
        </w:rPr>
        <w:t>ssessment</w:t>
      </w:r>
      <w:r w:rsidRPr="00834AFA">
        <w:rPr>
          <w:rFonts w:ascii="Trebuchet MS" w:eastAsia="+mn-ea" w:hAnsi="Trebuchet MS" w:cs="+mn-cs"/>
          <w:color w:val="000000"/>
          <w:kern w:val="24"/>
          <w:lang w:eastAsia="en-GB"/>
        </w:rPr>
        <w:t xml:space="preserve"> Dashboard</w:t>
      </w:r>
      <w:r w:rsidR="00F25369" w:rsidRPr="00834AFA">
        <w:rPr>
          <w:rFonts w:ascii="Trebuchet MS" w:eastAsia="+mn-ea" w:hAnsi="Trebuchet MS" w:cs="+mn-cs"/>
          <w:color w:val="000000"/>
          <w:kern w:val="24"/>
          <w:lang w:eastAsia="en-GB"/>
        </w:rPr>
        <w:t xml:space="preserve"> for your school(s) and use the </w:t>
      </w:r>
      <w:r w:rsidR="00E2606E">
        <w:rPr>
          <w:rFonts w:ascii="Trebuchet MS" w:eastAsia="+mn-ea" w:hAnsi="Trebuchet MS" w:cs="+mn-cs"/>
          <w:color w:val="000000"/>
          <w:kern w:val="24"/>
          <w:lang w:eastAsia="en-GB"/>
        </w:rPr>
        <w:t>b</w:t>
      </w:r>
      <w:r w:rsidR="00F25369" w:rsidRPr="00834AFA">
        <w:rPr>
          <w:rFonts w:ascii="Trebuchet MS" w:eastAsia="+mn-ea" w:hAnsi="Trebuchet MS" w:cs="+mn-cs"/>
          <w:color w:val="000000"/>
          <w:kern w:val="24"/>
          <w:lang w:eastAsia="en-GB"/>
        </w:rPr>
        <w:t>enchmarking comparison</w:t>
      </w:r>
      <w:r w:rsidR="00E2606E">
        <w:rPr>
          <w:rFonts w:ascii="Trebuchet MS" w:eastAsia="+mn-ea" w:hAnsi="Trebuchet MS" w:cs="+mn-cs"/>
          <w:color w:val="000000"/>
          <w:kern w:val="24"/>
          <w:lang w:eastAsia="en-GB"/>
        </w:rPr>
        <w:t>s</w:t>
      </w:r>
      <w:r w:rsidR="00F25369" w:rsidRPr="00834AFA">
        <w:rPr>
          <w:rFonts w:ascii="Trebuchet MS" w:eastAsia="+mn-ea" w:hAnsi="Trebuchet MS" w:cs="+mn-cs"/>
          <w:color w:val="000000"/>
          <w:kern w:val="24"/>
          <w:lang w:eastAsia="en-GB"/>
        </w:rPr>
        <w:t xml:space="preserve"> to investigate</w:t>
      </w:r>
      <w:r w:rsidR="00F25369" w:rsidRPr="00834AFA">
        <w:rPr>
          <w:rFonts w:ascii="Trebuchet MS" w:eastAsia="Times New Roman" w:hAnsi="Trebuchet MS" w:cs="Times New Roman"/>
          <w:lang w:eastAsia="en-GB"/>
        </w:rPr>
        <w:t xml:space="preserve"> those areas where your school’s data </w:t>
      </w:r>
      <w:r w:rsidR="0050573C" w:rsidRPr="00834AFA">
        <w:rPr>
          <w:rFonts w:ascii="Trebuchet MS" w:eastAsia="Times New Roman" w:hAnsi="Trebuchet MS" w:cs="Times New Roman"/>
          <w:lang w:eastAsia="en-GB"/>
        </w:rPr>
        <w:t xml:space="preserve">on your </w:t>
      </w:r>
      <w:r w:rsidR="00E2606E">
        <w:rPr>
          <w:rFonts w:ascii="Trebuchet MS" w:eastAsia="Times New Roman" w:hAnsi="Trebuchet MS" w:cs="Times New Roman"/>
          <w:lang w:eastAsia="en-GB"/>
        </w:rPr>
        <w:t>d</w:t>
      </w:r>
      <w:r w:rsidR="0050573C" w:rsidRPr="00834AFA">
        <w:rPr>
          <w:rFonts w:ascii="Trebuchet MS" w:eastAsia="Times New Roman" w:hAnsi="Trebuchet MS" w:cs="Times New Roman"/>
          <w:lang w:eastAsia="en-GB"/>
        </w:rPr>
        <w:t xml:space="preserve">ashboard </w:t>
      </w:r>
      <w:r w:rsidR="00F25369" w:rsidRPr="00834AFA">
        <w:rPr>
          <w:rFonts w:ascii="Trebuchet MS" w:eastAsia="Times New Roman" w:hAnsi="Trebuchet MS" w:cs="Times New Roman"/>
          <w:lang w:eastAsia="en-GB"/>
        </w:rPr>
        <w:t>suggest</w:t>
      </w:r>
      <w:r w:rsidR="0050573C" w:rsidRPr="00834AFA">
        <w:rPr>
          <w:rFonts w:ascii="Trebuchet MS" w:eastAsia="Times New Roman" w:hAnsi="Trebuchet MS" w:cs="Times New Roman"/>
          <w:lang w:eastAsia="en-GB"/>
        </w:rPr>
        <w:t xml:space="preserve">s </w:t>
      </w:r>
      <w:r w:rsidR="00F25369" w:rsidRPr="00834AFA">
        <w:rPr>
          <w:rFonts w:ascii="Trebuchet MS" w:eastAsia="Times New Roman" w:hAnsi="Trebuchet MS" w:cs="Times New Roman"/>
          <w:lang w:eastAsia="en-GB"/>
        </w:rPr>
        <w:t xml:space="preserve">your school is significantly out of line with schools with similar characteristics. </w:t>
      </w:r>
    </w:p>
    <w:p w14:paraId="6A8FF88C" w14:textId="67BFAE27" w:rsidR="00A96908" w:rsidRDefault="0050573C" w:rsidP="00F25369">
      <w:pPr>
        <w:spacing w:before="220" w:after="0" w:line="216" w:lineRule="auto"/>
        <w:rPr>
          <w:rFonts w:ascii="Trebuchet MS" w:eastAsia="Times New Roman" w:hAnsi="Trebuchet MS" w:cs="Times New Roman"/>
          <w:lang w:eastAsia="en-GB"/>
        </w:rPr>
      </w:pPr>
      <w:r w:rsidRPr="005C6521">
        <w:rPr>
          <w:rFonts w:ascii="Trebuchet MS" w:eastAsia="Times New Roman" w:hAnsi="Trebuchet MS" w:cs="Times New Roman"/>
          <w:lang w:eastAsia="en-GB"/>
        </w:rPr>
        <w:t xml:space="preserve">The DfE changed the format for these reports last year, so we are unable to provide a spreadsheet with your </w:t>
      </w:r>
      <w:r w:rsidR="00EF33D0" w:rsidRPr="005C6521">
        <w:rPr>
          <w:rFonts w:ascii="Trebuchet MS" w:eastAsia="Times New Roman" w:hAnsi="Trebuchet MS" w:cs="Times New Roman"/>
          <w:lang w:eastAsia="en-GB"/>
        </w:rPr>
        <w:t>d</w:t>
      </w:r>
      <w:r w:rsidRPr="005C6521">
        <w:rPr>
          <w:rFonts w:ascii="Trebuchet MS" w:eastAsia="Times New Roman" w:hAnsi="Trebuchet MS" w:cs="Times New Roman"/>
          <w:lang w:eastAsia="en-GB"/>
        </w:rPr>
        <w:t>ashboard alongside those for other schools in the Trust. However</w:t>
      </w:r>
      <w:r w:rsidRPr="00834AFA">
        <w:rPr>
          <w:rFonts w:ascii="Trebuchet MS" w:eastAsia="Times New Roman" w:hAnsi="Trebuchet MS" w:cs="Times New Roman"/>
          <w:lang w:eastAsia="en-GB"/>
        </w:rPr>
        <w:t xml:space="preserve">, we have downloaded both your </w:t>
      </w:r>
      <w:r w:rsidR="00EF33D0" w:rsidRPr="00834AFA">
        <w:rPr>
          <w:rFonts w:ascii="Trebuchet MS" w:eastAsia="Times New Roman" w:hAnsi="Trebuchet MS" w:cs="Times New Roman"/>
          <w:lang w:eastAsia="en-GB"/>
        </w:rPr>
        <w:t>d</w:t>
      </w:r>
      <w:r w:rsidRPr="00834AFA">
        <w:rPr>
          <w:rFonts w:ascii="Trebuchet MS" w:eastAsia="Times New Roman" w:hAnsi="Trebuchet MS" w:cs="Times New Roman"/>
          <w:lang w:eastAsia="en-GB"/>
        </w:rPr>
        <w:t xml:space="preserve">ashboard for your </w:t>
      </w:r>
      <w:r w:rsidR="007E21FA">
        <w:rPr>
          <w:rFonts w:ascii="Trebuchet MS" w:eastAsia="Times New Roman" w:hAnsi="Trebuchet MS" w:cs="Times New Roman"/>
          <w:lang w:eastAsia="en-GB"/>
        </w:rPr>
        <w:t>2021-22</w:t>
      </w:r>
      <w:r w:rsidRPr="00834AFA">
        <w:rPr>
          <w:rFonts w:ascii="Trebuchet MS" w:eastAsia="Times New Roman" w:hAnsi="Trebuchet MS" w:cs="Times New Roman"/>
          <w:lang w:eastAsia="en-GB"/>
        </w:rPr>
        <w:t xml:space="preserve"> budget </w:t>
      </w:r>
      <w:r w:rsidR="00B26451" w:rsidRPr="00834AFA">
        <w:rPr>
          <w:rFonts w:ascii="Trebuchet MS" w:eastAsia="Times New Roman" w:hAnsi="Trebuchet MS" w:cs="Times New Roman"/>
          <w:lang w:eastAsia="en-GB"/>
        </w:rPr>
        <w:t xml:space="preserve">and have prepared data for you to input to enable you to produce a </w:t>
      </w:r>
      <w:r w:rsidR="00E2606E">
        <w:rPr>
          <w:rFonts w:ascii="Trebuchet MS" w:eastAsia="Times New Roman" w:hAnsi="Trebuchet MS" w:cs="Times New Roman"/>
          <w:lang w:eastAsia="en-GB"/>
        </w:rPr>
        <w:t xml:space="preserve">second </w:t>
      </w:r>
      <w:r w:rsidR="00EF33D0" w:rsidRPr="00834AFA">
        <w:rPr>
          <w:rFonts w:ascii="Trebuchet MS" w:eastAsia="Times New Roman" w:hAnsi="Trebuchet MS" w:cs="Times New Roman"/>
          <w:lang w:eastAsia="en-GB"/>
        </w:rPr>
        <w:t>d</w:t>
      </w:r>
      <w:r w:rsidR="00B26451" w:rsidRPr="00834AFA">
        <w:rPr>
          <w:rFonts w:ascii="Trebuchet MS" w:eastAsia="Times New Roman" w:hAnsi="Trebuchet MS" w:cs="Times New Roman"/>
          <w:lang w:eastAsia="en-GB"/>
        </w:rPr>
        <w:t xml:space="preserve">ashboard based on your </w:t>
      </w:r>
      <w:r w:rsidR="007E21FA">
        <w:rPr>
          <w:rFonts w:ascii="Trebuchet MS" w:eastAsia="Times New Roman" w:hAnsi="Trebuchet MS" w:cs="Times New Roman"/>
          <w:lang w:eastAsia="en-GB"/>
        </w:rPr>
        <w:t>2022-23</w:t>
      </w:r>
      <w:r w:rsidR="00B26451" w:rsidRPr="00834AFA">
        <w:rPr>
          <w:rFonts w:ascii="Trebuchet MS" w:eastAsia="Times New Roman" w:hAnsi="Trebuchet MS" w:cs="Times New Roman"/>
          <w:lang w:eastAsia="en-GB"/>
        </w:rPr>
        <w:t xml:space="preserve"> Submitted budget.  This is more straightforward than it sounds and will enable you to save a report </w:t>
      </w:r>
      <w:r w:rsidR="00894384" w:rsidRPr="00834AFA">
        <w:rPr>
          <w:rFonts w:ascii="Trebuchet MS" w:eastAsia="Times New Roman" w:hAnsi="Trebuchet MS" w:cs="Times New Roman"/>
          <w:lang w:eastAsia="en-GB"/>
        </w:rPr>
        <w:t xml:space="preserve">with the dashboards side by side for </w:t>
      </w:r>
      <w:r w:rsidR="00426260" w:rsidRPr="00834AFA">
        <w:rPr>
          <w:rFonts w:ascii="Trebuchet MS" w:eastAsia="Times New Roman" w:hAnsi="Trebuchet MS" w:cs="Times New Roman"/>
          <w:lang w:eastAsia="en-GB"/>
        </w:rPr>
        <w:t xml:space="preserve">direct </w:t>
      </w:r>
      <w:r w:rsidR="00894384" w:rsidRPr="00834AFA">
        <w:rPr>
          <w:rFonts w:ascii="Trebuchet MS" w:eastAsia="Times New Roman" w:hAnsi="Trebuchet MS" w:cs="Times New Roman"/>
          <w:lang w:eastAsia="en-GB"/>
        </w:rPr>
        <w:t xml:space="preserve">comparison and </w:t>
      </w:r>
      <w:r w:rsidR="00426260" w:rsidRPr="00834AFA">
        <w:rPr>
          <w:rFonts w:ascii="Trebuchet MS" w:eastAsia="Times New Roman" w:hAnsi="Trebuchet MS" w:cs="Times New Roman"/>
          <w:lang w:eastAsia="en-GB"/>
        </w:rPr>
        <w:t xml:space="preserve">ease of </w:t>
      </w:r>
      <w:r w:rsidR="00894384" w:rsidRPr="00834AFA">
        <w:rPr>
          <w:rFonts w:ascii="Trebuchet MS" w:eastAsia="Times New Roman" w:hAnsi="Trebuchet MS" w:cs="Times New Roman"/>
          <w:lang w:eastAsia="en-GB"/>
        </w:rPr>
        <w:t xml:space="preserve">sharing with your </w:t>
      </w:r>
      <w:r w:rsidR="00426260" w:rsidRPr="00834AFA">
        <w:rPr>
          <w:rFonts w:ascii="Trebuchet MS" w:eastAsia="Times New Roman" w:hAnsi="Trebuchet MS" w:cs="Times New Roman"/>
          <w:lang w:eastAsia="en-GB"/>
        </w:rPr>
        <w:t>governors responsible for finance</w:t>
      </w:r>
      <w:r w:rsidR="00894384" w:rsidRPr="00834AFA">
        <w:rPr>
          <w:rFonts w:ascii="Trebuchet MS" w:eastAsia="Times New Roman" w:hAnsi="Trebuchet MS" w:cs="Times New Roman"/>
          <w:lang w:eastAsia="en-GB"/>
        </w:rPr>
        <w:t xml:space="preserve">. </w:t>
      </w:r>
      <w:r w:rsidR="005C6521">
        <w:rPr>
          <w:rFonts w:ascii="Trebuchet MS" w:eastAsia="Times New Roman" w:hAnsi="Trebuchet MS" w:cs="Times New Roman"/>
          <w:lang w:eastAsia="en-GB"/>
        </w:rPr>
        <w:t>We have been unable to provide t</w:t>
      </w:r>
      <w:r w:rsidR="007E21FA">
        <w:rPr>
          <w:rFonts w:ascii="Trebuchet MS" w:eastAsia="Times New Roman" w:hAnsi="Trebuchet MS" w:cs="Times New Roman"/>
          <w:lang w:eastAsia="en-GB"/>
        </w:rPr>
        <w:t>his additional information for schools joining the Trust during 2022-23.</w:t>
      </w:r>
    </w:p>
    <w:p w14:paraId="0A50416C" w14:textId="1785F179" w:rsidR="00894384" w:rsidRPr="005C6521" w:rsidRDefault="00894384" w:rsidP="00F25369">
      <w:pPr>
        <w:spacing w:before="220" w:after="0" w:line="216" w:lineRule="auto"/>
        <w:rPr>
          <w:rFonts w:ascii="Segoe UI" w:hAnsi="Segoe UI" w:cs="Segoe UI"/>
          <w:b/>
          <w:bCs/>
          <w:color w:val="222222"/>
          <w:shd w:val="clear" w:color="auto" w:fill="FFFFFF"/>
        </w:rPr>
      </w:pPr>
      <w:r w:rsidRPr="00834AFA">
        <w:rPr>
          <w:rFonts w:ascii="Trebuchet MS" w:eastAsia="Times New Roman" w:hAnsi="Trebuchet MS" w:cs="Times New Roman"/>
          <w:lang w:eastAsia="en-GB"/>
        </w:rPr>
        <w:t>We have also downloaded</w:t>
      </w:r>
      <w:r w:rsidR="0050573C" w:rsidRPr="00834AFA">
        <w:rPr>
          <w:rFonts w:ascii="Trebuchet MS" w:eastAsia="Times New Roman" w:hAnsi="Trebuchet MS" w:cs="Times New Roman"/>
          <w:lang w:eastAsia="en-GB"/>
        </w:rPr>
        <w:t xml:space="preserve"> </w:t>
      </w:r>
      <w:r w:rsidR="00B26451" w:rsidRPr="00834AFA">
        <w:rPr>
          <w:rFonts w:ascii="Trebuchet MS" w:eastAsia="Times New Roman" w:hAnsi="Trebuchet MS" w:cs="Times New Roman"/>
          <w:lang w:eastAsia="en-GB"/>
        </w:rPr>
        <w:t xml:space="preserve">two sets of </w:t>
      </w:r>
      <w:r w:rsidR="0050573C" w:rsidRPr="00834AFA">
        <w:rPr>
          <w:rFonts w:ascii="Trebuchet MS" w:eastAsia="Times New Roman" w:hAnsi="Trebuchet MS" w:cs="Times New Roman"/>
          <w:lang w:eastAsia="en-GB"/>
        </w:rPr>
        <w:t>benchmarking charts for your school</w:t>
      </w:r>
      <w:r w:rsidR="00B26451" w:rsidRPr="00834AFA">
        <w:rPr>
          <w:rFonts w:ascii="Trebuchet MS" w:eastAsia="Times New Roman" w:hAnsi="Trebuchet MS" w:cs="Times New Roman"/>
          <w:lang w:eastAsia="en-GB"/>
        </w:rPr>
        <w:t xml:space="preserve"> – one with the benchmark set of schools suggested by the tool based on academies with similar characteristics, and another with schools of a similar size within the Trust.</w:t>
      </w:r>
      <w:r w:rsidRPr="00834AFA">
        <w:rPr>
          <w:rFonts w:ascii="Trebuchet MS" w:eastAsia="Times New Roman" w:hAnsi="Trebuchet MS" w:cs="Times New Roman"/>
          <w:lang w:eastAsia="en-GB"/>
        </w:rPr>
        <w:t xml:space="preserve"> These are available for you in </w:t>
      </w:r>
      <w:hyperlink r:id="rId6" w:history="1">
        <w:proofErr w:type="spellStart"/>
        <w:r w:rsidR="005C6521">
          <w:rPr>
            <w:rStyle w:val="Hyperlink"/>
            <w:rFonts w:ascii="Segoe UI" w:hAnsi="Segoe UI" w:cs="Segoe UI"/>
            <w:shd w:val="clear" w:color="auto" w:fill="FFFFFF"/>
          </w:rPr>
          <w:t>Foldr</w:t>
        </w:r>
        <w:proofErr w:type="spellEnd"/>
      </w:hyperlink>
      <w:r w:rsidR="005C6521">
        <w:rPr>
          <w:rStyle w:val="Strong"/>
          <w:rFonts w:ascii="Segoe UI" w:hAnsi="Segoe UI" w:cs="Segoe UI"/>
          <w:color w:val="222222"/>
          <w:shd w:val="clear" w:color="auto" w:fill="FFFFFF"/>
        </w:rPr>
        <w:t xml:space="preserve"> </w:t>
      </w:r>
      <w:r w:rsidRPr="00834AFA">
        <w:rPr>
          <w:rFonts w:ascii="Trebuchet MS" w:eastAsia="Times New Roman" w:hAnsi="Trebuchet MS" w:cs="Times New Roman"/>
          <w:lang w:eastAsia="en-GB"/>
        </w:rPr>
        <w:t xml:space="preserve">for you to </w:t>
      </w:r>
      <w:r w:rsidR="00426260" w:rsidRPr="00834AFA">
        <w:rPr>
          <w:rFonts w:ascii="Trebuchet MS" w:eastAsia="Times New Roman" w:hAnsi="Trebuchet MS" w:cs="Times New Roman"/>
          <w:lang w:eastAsia="en-GB"/>
        </w:rPr>
        <w:t xml:space="preserve">review, </w:t>
      </w:r>
      <w:r w:rsidR="00A96908">
        <w:rPr>
          <w:rFonts w:ascii="Trebuchet MS" w:eastAsia="Times New Roman" w:hAnsi="Trebuchet MS" w:cs="Times New Roman"/>
          <w:lang w:eastAsia="en-GB"/>
        </w:rPr>
        <w:t>use for reporting</w:t>
      </w:r>
      <w:r w:rsidR="00426260" w:rsidRPr="00834AFA">
        <w:rPr>
          <w:rFonts w:ascii="Trebuchet MS" w:eastAsia="Times New Roman" w:hAnsi="Trebuchet MS" w:cs="Times New Roman"/>
          <w:lang w:eastAsia="en-GB"/>
        </w:rPr>
        <w:t xml:space="preserve"> and share with your governors</w:t>
      </w:r>
      <w:r w:rsidRPr="00834AFA">
        <w:rPr>
          <w:rFonts w:ascii="Trebuchet MS" w:eastAsia="Times New Roman" w:hAnsi="Trebuchet MS" w:cs="Times New Roman"/>
          <w:lang w:eastAsia="en-GB"/>
        </w:rPr>
        <w:t>.</w:t>
      </w:r>
      <w:r w:rsidR="00426260" w:rsidRPr="00834AFA">
        <w:rPr>
          <w:rFonts w:ascii="Trebuchet MS" w:eastAsia="Times New Roman" w:hAnsi="Trebuchet MS" w:cs="Times New Roman"/>
          <w:lang w:eastAsia="en-GB"/>
        </w:rPr>
        <w:t xml:space="preserve">  The </w:t>
      </w:r>
      <w:r w:rsidR="00EF33D0" w:rsidRPr="00834AFA">
        <w:rPr>
          <w:rFonts w:ascii="Trebuchet MS" w:eastAsia="Times New Roman" w:hAnsi="Trebuchet MS" w:cs="Times New Roman"/>
          <w:lang w:eastAsia="en-GB"/>
        </w:rPr>
        <w:t>d</w:t>
      </w:r>
      <w:r w:rsidR="00426260" w:rsidRPr="00834AFA">
        <w:rPr>
          <w:rFonts w:ascii="Trebuchet MS" w:eastAsia="Times New Roman" w:hAnsi="Trebuchet MS" w:cs="Times New Roman"/>
          <w:lang w:eastAsia="en-GB"/>
        </w:rPr>
        <w:t xml:space="preserve">ashboards for </w:t>
      </w:r>
      <w:r w:rsidR="007E21FA">
        <w:rPr>
          <w:rFonts w:ascii="Trebuchet MS" w:eastAsia="Times New Roman" w:hAnsi="Trebuchet MS" w:cs="Times New Roman"/>
          <w:lang w:eastAsia="en-GB"/>
        </w:rPr>
        <w:t>2021-22</w:t>
      </w:r>
      <w:r w:rsidR="00426260" w:rsidRPr="00834AFA">
        <w:rPr>
          <w:rFonts w:ascii="Trebuchet MS" w:eastAsia="Times New Roman" w:hAnsi="Trebuchet MS" w:cs="Times New Roman"/>
          <w:lang w:eastAsia="en-GB"/>
        </w:rPr>
        <w:t xml:space="preserve"> will be shared with Finance Trustees.</w:t>
      </w:r>
    </w:p>
    <w:p w14:paraId="42387926" w14:textId="77777777" w:rsidR="003A23A1" w:rsidRPr="00834AFA" w:rsidRDefault="003A23A1" w:rsidP="008D3968">
      <w:pPr>
        <w:shd w:val="clear" w:color="auto" w:fill="FFFFFF"/>
        <w:spacing w:after="0" w:line="240" w:lineRule="auto"/>
        <w:jc w:val="center"/>
        <w:textAlignment w:val="baseline"/>
        <w:outlineLvl w:val="1"/>
        <w:rPr>
          <w:rFonts w:ascii="Trebuchet MS" w:eastAsia="Times New Roman" w:hAnsi="Trebuchet MS" w:cs="Arial"/>
          <w:b/>
          <w:bCs/>
          <w:color w:val="0B0C0C"/>
          <w:lang w:eastAsia="en-GB"/>
        </w:rPr>
      </w:pPr>
    </w:p>
    <w:p w14:paraId="63EF7BDE" w14:textId="1F80D67B" w:rsidR="008D3968" w:rsidRPr="00834AFA" w:rsidRDefault="00F25369" w:rsidP="003A23A1">
      <w:pPr>
        <w:shd w:val="clear" w:color="auto" w:fill="FFFFFF"/>
        <w:spacing w:after="0" w:line="240" w:lineRule="auto"/>
        <w:textAlignment w:val="baseline"/>
        <w:outlineLvl w:val="1"/>
        <w:rPr>
          <w:rFonts w:ascii="Trebuchet MS" w:eastAsia="Times New Roman" w:hAnsi="Trebuchet MS" w:cs="Arial"/>
          <w:b/>
          <w:bCs/>
          <w:color w:val="0B0C0C"/>
          <w:lang w:eastAsia="en-GB"/>
        </w:rPr>
      </w:pPr>
      <w:r w:rsidRPr="00834AFA">
        <w:rPr>
          <w:rFonts w:ascii="Trebuchet MS" w:eastAsia="Times New Roman" w:hAnsi="Trebuchet MS" w:cs="Arial"/>
          <w:b/>
          <w:bCs/>
          <w:color w:val="0B0C0C"/>
          <w:lang w:eastAsia="en-GB"/>
        </w:rPr>
        <w:t>Self</w:t>
      </w:r>
      <w:r w:rsidR="00426260" w:rsidRPr="00834AFA">
        <w:rPr>
          <w:rFonts w:ascii="Trebuchet MS" w:eastAsia="Times New Roman" w:hAnsi="Trebuchet MS" w:cs="Arial"/>
          <w:b/>
          <w:bCs/>
          <w:color w:val="0B0C0C"/>
          <w:lang w:eastAsia="en-GB"/>
        </w:rPr>
        <w:t>-a</w:t>
      </w:r>
      <w:r w:rsidRPr="00834AFA">
        <w:rPr>
          <w:rFonts w:ascii="Trebuchet MS" w:eastAsia="Times New Roman" w:hAnsi="Trebuchet MS" w:cs="Arial"/>
          <w:b/>
          <w:bCs/>
          <w:color w:val="0B0C0C"/>
          <w:lang w:eastAsia="en-GB"/>
        </w:rPr>
        <w:t>ssessment Dashboard</w:t>
      </w:r>
    </w:p>
    <w:p w14:paraId="51BF1663" w14:textId="3754FBFC" w:rsidR="00050610" w:rsidRPr="00834AFA" w:rsidRDefault="008D3968" w:rsidP="00426260">
      <w:pPr>
        <w:shd w:val="clear" w:color="auto" w:fill="FFFFFF"/>
        <w:spacing w:before="300" w:after="300" w:line="240" w:lineRule="auto"/>
        <w:textAlignment w:val="baseline"/>
        <w:rPr>
          <w:rFonts w:ascii="Trebuchet MS" w:eastAsia="Times New Roman" w:hAnsi="Trebuchet MS" w:cs="Arial"/>
          <w:color w:val="0B0C0C"/>
          <w:lang w:eastAsia="en-GB"/>
        </w:rPr>
      </w:pPr>
      <w:r w:rsidRPr="00834AFA">
        <w:rPr>
          <w:rFonts w:ascii="Trebuchet MS" w:eastAsia="Times New Roman" w:hAnsi="Trebuchet MS" w:cs="Arial"/>
          <w:color w:val="0B0C0C"/>
          <w:lang w:eastAsia="en-GB"/>
        </w:rPr>
        <w:t xml:space="preserve">The </w:t>
      </w:r>
      <w:r w:rsidR="00426260" w:rsidRPr="00834AFA">
        <w:rPr>
          <w:rFonts w:ascii="Trebuchet MS" w:eastAsia="Times New Roman" w:hAnsi="Trebuchet MS" w:cs="Arial"/>
          <w:color w:val="0B0C0C"/>
          <w:lang w:eastAsia="en-GB"/>
        </w:rPr>
        <w:t>S</w:t>
      </w:r>
      <w:r w:rsidRPr="00834AFA">
        <w:rPr>
          <w:rFonts w:ascii="Trebuchet MS" w:eastAsia="Times New Roman" w:hAnsi="Trebuchet MS" w:cs="Arial"/>
          <w:color w:val="0B0C0C"/>
          <w:lang w:eastAsia="en-GB"/>
        </w:rPr>
        <w:t>elf-</w:t>
      </w:r>
      <w:r w:rsidR="00426260" w:rsidRPr="00834AFA">
        <w:rPr>
          <w:rFonts w:ascii="Trebuchet MS" w:eastAsia="Times New Roman" w:hAnsi="Trebuchet MS" w:cs="Arial"/>
          <w:color w:val="0B0C0C"/>
          <w:lang w:eastAsia="en-GB"/>
        </w:rPr>
        <w:t>a</w:t>
      </w:r>
      <w:r w:rsidRPr="00834AFA">
        <w:rPr>
          <w:rFonts w:ascii="Trebuchet MS" w:eastAsia="Times New Roman" w:hAnsi="Trebuchet MS" w:cs="Arial"/>
          <w:color w:val="0B0C0C"/>
          <w:lang w:eastAsia="en-GB"/>
        </w:rPr>
        <w:t xml:space="preserve">ssessment </w:t>
      </w:r>
      <w:r w:rsidR="00426260" w:rsidRPr="00834AFA">
        <w:rPr>
          <w:rFonts w:ascii="Trebuchet MS" w:eastAsia="Times New Roman" w:hAnsi="Trebuchet MS" w:cs="Arial"/>
          <w:color w:val="0B0C0C"/>
          <w:lang w:eastAsia="en-GB"/>
        </w:rPr>
        <w:t>Dashboard</w:t>
      </w:r>
      <w:r w:rsidRPr="00834AFA">
        <w:rPr>
          <w:rFonts w:ascii="Trebuchet MS" w:eastAsia="Times New Roman" w:hAnsi="Trebuchet MS" w:cs="Arial"/>
          <w:color w:val="0B0C0C"/>
          <w:lang w:eastAsia="en-GB"/>
        </w:rPr>
        <w:t xml:space="preserve"> helps to provide </w:t>
      </w:r>
      <w:r w:rsidR="004E2A4E" w:rsidRPr="00834AFA">
        <w:rPr>
          <w:rFonts w:ascii="Trebuchet MS" w:eastAsia="Times New Roman" w:hAnsi="Trebuchet MS" w:cs="Arial"/>
          <w:color w:val="0B0C0C"/>
          <w:lang w:eastAsia="en-GB"/>
        </w:rPr>
        <w:t>T</w:t>
      </w:r>
      <w:r w:rsidRPr="00834AFA">
        <w:rPr>
          <w:rFonts w:ascii="Trebuchet MS" w:eastAsia="Times New Roman" w:hAnsi="Trebuchet MS" w:cs="Arial"/>
          <w:color w:val="0B0C0C"/>
          <w:lang w:eastAsia="en-GB"/>
        </w:rPr>
        <w:t xml:space="preserve">rust and Local Governing Boards with assurance that they are meeting the basic standards necessary to achieve a good level of financial health and resource management. The dashboard </w:t>
      </w:r>
      <w:r w:rsidR="00050610" w:rsidRPr="00834AFA">
        <w:rPr>
          <w:rFonts w:ascii="Trebuchet MS" w:eastAsia="Times New Roman" w:hAnsi="Trebuchet MS" w:cs="Arial"/>
          <w:color w:val="0B0C0C"/>
          <w:lang w:eastAsia="en-GB"/>
        </w:rPr>
        <w:t xml:space="preserve">is </w:t>
      </w:r>
      <w:r w:rsidRPr="00834AFA">
        <w:rPr>
          <w:rFonts w:ascii="Trebuchet MS" w:eastAsia="Times New Roman" w:hAnsi="Trebuchet MS" w:cs="Arial"/>
          <w:color w:val="0B0C0C"/>
          <w:lang w:eastAsia="en-GB"/>
        </w:rPr>
        <w:t>useful to see how a school’s data compares to thresholds on a range of statistics that have been identified by the D</w:t>
      </w:r>
      <w:r w:rsidR="00A96908">
        <w:rPr>
          <w:rFonts w:ascii="Trebuchet MS" w:eastAsia="Times New Roman" w:hAnsi="Trebuchet MS" w:cs="Arial"/>
          <w:color w:val="0B0C0C"/>
          <w:lang w:eastAsia="en-GB"/>
        </w:rPr>
        <w:t>f</w:t>
      </w:r>
      <w:r w:rsidR="00426260" w:rsidRPr="00834AFA">
        <w:rPr>
          <w:rFonts w:ascii="Trebuchet MS" w:eastAsia="Times New Roman" w:hAnsi="Trebuchet MS" w:cs="Arial"/>
          <w:color w:val="0B0C0C"/>
          <w:lang w:eastAsia="en-GB"/>
        </w:rPr>
        <w:t xml:space="preserve">E </w:t>
      </w:r>
      <w:r w:rsidRPr="00834AFA">
        <w:rPr>
          <w:rFonts w:ascii="Trebuchet MS" w:eastAsia="Times New Roman" w:hAnsi="Trebuchet MS" w:cs="Arial"/>
          <w:color w:val="0B0C0C"/>
          <w:lang w:eastAsia="en-GB"/>
        </w:rPr>
        <w:t>as indicators for good resource management and outcomes</w:t>
      </w:r>
      <w:r w:rsidR="00426260" w:rsidRPr="00834AFA">
        <w:rPr>
          <w:rFonts w:ascii="Trebuchet MS" w:eastAsia="Times New Roman" w:hAnsi="Trebuchet MS" w:cs="Arial"/>
          <w:color w:val="0B0C0C"/>
          <w:lang w:eastAsia="en-GB"/>
        </w:rPr>
        <w:t>. It can be used to identify possible areas for change to ensure that resources are being used to support high-quality teaching and the best education outcomes for pupils.</w:t>
      </w:r>
    </w:p>
    <w:p w14:paraId="3F09EC06" w14:textId="1EFAAC39" w:rsidR="00050610" w:rsidRPr="00834AFA" w:rsidRDefault="00A96908" w:rsidP="008D3968">
      <w:pPr>
        <w:shd w:val="clear" w:color="auto" w:fill="FFFFFF"/>
        <w:spacing w:after="0" w:line="240" w:lineRule="auto"/>
        <w:textAlignment w:val="baseline"/>
        <w:rPr>
          <w:rFonts w:ascii="Trebuchet MS" w:eastAsia="Times New Roman" w:hAnsi="Trebuchet MS" w:cs="Arial"/>
          <w:color w:val="0B0C0C"/>
          <w:lang w:eastAsia="en-GB"/>
        </w:rPr>
      </w:pPr>
      <w:r>
        <w:rPr>
          <w:rFonts w:ascii="Trebuchet MS" w:eastAsia="Times New Roman" w:hAnsi="Trebuchet MS" w:cs="Arial"/>
          <w:color w:val="0B0C0C"/>
          <w:lang w:eastAsia="en-GB"/>
        </w:rPr>
        <w:t xml:space="preserve">As part of the information provided for </w:t>
      </w:r>
      <w:r w:rsidR="007E21FA">
        <w:rPr>
          <w:rFonts w:ascii="Trebuchet MS" w:eastAsia="Times New Roman" w:hAnsi="Trebuchet MS" w:cs="Arial"/>
          <w:color w:val="0B0C0C"/>
          <w:lang w:eastAsia="en-GB"/>
        </w:rPr>
        <w:t>2023-24</w:t>
      </w:r>
      <w:r>
        <w:rPr>
          <w:rFonts w:ascii="Trebuchet MS" w:eastAsia="Times New Roman" w:hAnsi="Trebuchet MS" w:cs="Arial"/>
          <w:color w:val="0B0C0C"/>
          <w:lang w:eastAsia="en-GB"/>
        </w:rPr>
        <w:t xml:space="preserve"> budget planning in </w:t>
      </w:r>
      <w:proofErr w:type="spellStart"/>
      <w:r>
        <w:rPr>
          <w:rFonts w:ascii="Trebuchet MS" w:eastAsia="Times New Roman" w:hAnsi="Trebuchet MS" w:cs="Arial"/>
          <w:color w:val="0B0C0C"/>
          <w:lang w:eastAsia="en-GB"/>
        </w:rPr>
        <w:t>Fold</w:t>
      </w:r>
      <w:r w:rsidR="00EB17ED">
        <w:rPr>
          <w:rFonts w:ascii="Trebuchet MS" w:eastAsia="Times New Roman" w:hAnsi="Trebuchet MS" w:cs="Arial"/>
          <w:color w:val="0B0C0C"/>
          <w:lang w:eastAsia="en-GB"/>
        </w:rPr>
        <w:t>r</w:t>
      </w:r>
      <w:proofErr w:type="spellEnd"/>
      <w:r>
        <w:rPr>
          <w:rFonts w:ascii="Trebuchet MS" w:eastAsia="Times New Roman" w:hAnsi="Trebuchet MS" w:cs="Arial"/>
          <w:color w:val="0B0C0C"/>
          <w:lang w:eastAsia="en-GB"/>
        </w:rPr>
        <w:t>, we have saved a copy</w:t>
      </w:r>
      <w:r w:rsidR="00050610" w:rsidRPr="00834AFA">
        <w:rPr>
          <w:rFonts w:ascii="Trebuchet MS" w:eastAsia="Times New Roman" w:hAnsi="Trebuchet MS" w:cs="Arial"/>
          <w:color w:val="0B0C0C"/>
          <w:lang w:eastAsia="en-GB"/>
        </w:rPr>
        <w:t xml:space="preserve"> </w:t>
      </w:r>
      <w:r>
        <w:rPr>
          <w:rFonts w:ascii="Trebuchet MS" w:eastAsia="Times New Roman" w:hAnsi="Trebuchet MS" w:cs="Arial"/>
          <w:color w:val="0B0C0C"/>
          <w:lang w:eastAsia="en-GB"/>
        </w:rPr>
        <w:t>of</w:t>
      </w:r>
      <w:r w:rsidR="00050610" w:rsidRPr="00834AFA">
        <w:rPr>
          <w:rFonts w:ascii="Trebuchet MS" w:eastAsia="Times New Roman" w:hAnsi="Trebuchet MS" w:cs="Arial"/>
          <w:color w:val="0B0C0C"/>
          <w:lang w:eastAsia="en-GB"/>
        </w:rPr>
        <w:t xml:space="preserve"> the DfE dashboard based on </w:t>
      </w:r>
      <w:r w:rsidR="00EF33D0" w:rsidRPr="00834AFA">
        <w:rPr>
          <w:rFonts w:ascii="Trebuchet MS" w:eastAsia="Times New Roman" w:hAnsi="Trebuchet MS" w:cs="Arial"/>
          <w:color w:val="0B0C0C"/>
          <w:lang w:eastAsia="en-GB"/>
        </w:rPr>
        <w:t>202</w:t>
      </w:r>
      <w:r w:rsidR="007E21FA">
        <w:rPr>
          <w:rFonts w:ascii="Trebuchet MS" w:eastAsia="Times New Roman" w:hAnsi="Trebuchet MS" w:cs="Arial"/>
          <w:color w:val="0B0C0C"/>
          <w:lang w:eastAsia="en-GB"/>
        </w:rPr>
        <w:t xml:space="preserve">1-22 </w:t>
      </w:r>
      <w:r w:rsidR="00050610" w:rsidRPr="00834AFA">
        <w:rPr>
          <w:rFonts w:ascii="Trebuchet MS" w:eastAsia="Times New Roman" w:hAnsi="Trebuchet MS" w:cs="Arial"/>
          <w:color w:val="0B0C0C"/>
          <w:lang w:eastAsia="en-GB"/>
        </w:rPr>
        <w:t xml:space="preserve">outturn data for your information.  Additionally, to make use the most up to date data available, the Central Team have </w:t>
      </w:r>
      <w:r w:rsidR="00EF33D0" w:rsidRPr="00834AFA">
        <w:rPr>
          <w:rFonts w:ascii="Trebuchet MS" w:eastAsia="Times New Roman" w:hAnsi="Trebuchet MS" w:cs="Arial"/>
          <w:color w:val="0B0C0C"/>
          <w:lang w:eastAsia="en-GB"/>
        </w:rPr>
        <w:t xml:space="preserve">pulled together </w:t>
      </w:r>
      <w:r w:rsidR="00050610" w:rsidRPr="00834AFA">
        <w:rPr>
          <w:rFonts w:ascii="Trebuchet MS" w:eastAsia="Times New Roman" w:hAnsi="Trebuchet MS" w:cs="Arial"/>
          <w:color w:val="0B0C0C"/>
          <w:lang w:eastAsia="en-GB"/>
        </w:rPr>
        <w:t xml:space="preserve">the raw data </w:t>
      </w:r>
      <w:r w:rsidR="00EF33D0" w:rsidRPr="00834AFA">
        <w:rPr>
          <w:rFonts w:ascii="Trebuchet MS" w:eastAsia="Times New Roman" w:hAnsi="Trebuchet MS" w:cs="Arial"/>
          <w:color w:val="0B0C0C"/>
          <w:lang w:eastAsia="en-GB"/>
        </w:rPr>
        <w:t>for you to</w:t>
      </w:r>
      <w:r w:rsidR="00050610" w:rsidRPr="00834AFA">
        <w:rPr>
          <w:rFonts w:ascii="Trebuchet MS" w:eastAsia="Times New Roman" w:hAnsi="Trebuchet MS" w:cs="Arial"/>
          <w:color w:val="0B0C0C"/>
          <w:lang w:eastAsia="en-GB"/>
        </w:rPr>
        <w:t xml:space="preserve"> </w:t>
      </w:r>
      <w:r>
        <w:rPr>
          <w:rFonts w:ascii="Trebuchet MS" w:eastAsia="Times New Roman" w:hAnsi="Trebuchet MS" w:cs="Arial"/>
          <w:color w:val="0B0C0C"/>
          <w:lang w:eastAsia="en-GB"/>
        </w:rPr>
        <w:t xml:space="preserve">produce </w:t>
      </w:r>
      <w:r w:rsidR="00050610" w:rsidRPr="00834AFA">
        <w:rPr>
          <w:rFonts w:ascii="Trebuchet MS" w:eastAsia="Times New Roman" w:hAnsi="Trebuchet MS" w:cs="Arial"/>
          <w:color w:val="0B0C0C"/>
          <w:lang w:eastAsia="en-GB"/>
        </w:rPr>
        <w:t xml:space="preserve">a second </w:t>
      </w:r>
      <w:r w:rsidR="00EF33D0" w:rsidRPr="00834AFA">
        <w:rPr>
          <w:rFonts w:ascii="Trebuchet MS" w:eastAsia="Times New Roman" w:hAnsi="Trebuchet MS" w:cs="Arial"/>
          <w:color w:val="0B0C0C"/>
          <w:lang w:eastAsia="en-GB"/>
        </w:rPr>
        <w:t xml:space="preserve">custom </w:t>
      </w:r>
      <w:r w:rsidR="00050610" w:rsidRPr="00834AFA">
        <w:rPr>
          <w:rFonts w:ascii="Trebuchet MS" w:eastAsia="Times New Roman" w:hAnsi="Trebuchet MS" w:cs="Arial"/>
          <w:color w:val="0B0C0C"/>
          <w:lang w:eastAsia="en-GB"/>
        </w:rPr>
        <w:t xml:space="preserve">dashboard based on </w:t>
      </w:r>
      <w:r w:rsidR="00EF33D0" w:rsidRPr="00834AFA">
        <w:rPr>
          <w:rFonts w:ascii="Trebuchet MS" w:eastAsia="Times New Roman" w:hAnsi="Trebuchet MS" w:cs="Arial"/>
          <w:color w:val="0B0C0C"/>
          <w:lang w:eastAsia="en-GB"/>
        </w:rPr>
        <w:t xml:space="preserve">your school’s </w:t>
      </w:r>
      <w:r w:rsidR="005C6521">
        <w:rPr>
          <w:rFonts w:ascii="Trebuchet MS" w:eastAsia="Times New Roman" w:hAnsi="Trebuchet MS" w:cs="Arial"/>
          <w:color w:val="0B0C0C"/>
          <w:lang w:eastAsia="en-GB"/>
        </w:rPr>
        <w:t>2022-23</w:t>
      </w:r>
      <w:r w:rsidR="00050610" w:rsidRPr="00834AFA">
        <w:rPr>
          <w:rFonts w:ascii="Trebuchet MS" w:eastAsia="Times New Roman" w:hAnsi="Trebuchet MS" w:cs="Arial"/>
          <w:color w:val="0B0C0C"/>
          <w:lang w:eastAsia="en-GB"/>
        </w:rPr>
        <w:t xml:space="preserve"> submitted budget, rather than rely on other published data</w:t>
      </w:r>
      <w:r w:rsidR="00F70134">
        <w:rPr>
          <w:rFonts w:ascii="Trebuchet MS" w:eastAsia="Times New Roman" w:hAnsi="Trebuchet MS" w:cs="Arial"/>
          <w:color w:val="0B0C0C"/>
          <w:lang w:eastAsia="en-GB"/>
        </w:rPr>
        <w:t xml:space="preserve"> (excluding those schools who have recently joined the Trust)</w:t>
      </w:r>
      <w:r w:rsidR="00050610" w:rsidRPr="00834AFA">
        <w:rPr>
          <w:rFonts w:ascii="Trebuchet MS" w:eastAsia="Times New Roman" w:hAnsi="Trebuchet MS" w:cs="Arial"/>
          <w:color w:val="0B0C0C"/>
          <w:lang w:eastAsia="en-GB"/>
        </w:rPr>
        <w:t>.  We have, as best as we can, tried to ensure that data has been completed on the same basis as the DfE thresholds to ensure that the data is rated meaningfully and as accurately as possible.</w:t>
      </w:r>
    </w:p>
    <w:p w14:paraId="698E94E4" w14:textId="566910C7" w:rsidR="00834AFA" w:rsidRPr="005C6521" w:rsidRDefault="00EF33D0" w:rsidP="00834AFA">
      <w:pPr>
        <w:shd w:val="clear" w:color="auto" w:fill="FFFFFF"/>
        <w:spacing w:before="300" w:after="300" w:line="240" w:lineRule="auto"/>
        <w:textAlignment w:val="baseline"/>
        <w:rPr>
          <w:rFonts w:ascii="Segoe UI" w:hAnsi="Segoe UI" w:cs="Segoe UI"/>
          <w:b/>
          <w:bCs/>
          <w:color w:val="222222"/>
          <w:shd w:val="clear" w:color="auto" w:fill="FFFFFF"/>
        </w:rPr>
      </w:pPr>
      <w:r w:rsidRPr="00834AFA">
        <w:rPr>
          <w:rFonts w:ascii="Trebuchet MS" w:eastAsia="Times New Roman" w:hAnsi="Trebuchet MS" w:cs="Arial"/>
          <w:color w:val="0B0C0C"/>
          <w:lang w:eastAsia="en-GB"/>
        </w:rPr>
        <w:t>This data is available</w:t>
      </w:r>
      <w:r w:rsidR="005C6521">
        <w:rPr>
          <w:rFonts w:ascii="Trebuchet MS" w:eastAsia="Times New Roman" w:hAnsi="Trebuchet MS" w:cs="Arial"/>
          <w:color w:val="0B0C0C"/>
          <w:lang w:eastAsia="en-GB"/>
        </w:rPr>
        <w:t xml:space="preserve"> in</w:t>
      </w:r>
      <w:r w:rsidRPr="00834AFA">
        <w:rPr>
          <w:rFonts w:ascii="Trebuchet MS" w:eastAsia="Times New Roman" w:hAnsi="Trebuchet MS" w:cs="Arial"/>
          <w:color w:val="0B0C0C"/>
          <w:lang w:eastAsia="en-GB"/>
        </w:rPr>
        <w:t xml:space="preserve"> </w:t>
      </w:r>
      <w:hyperlink r:id="rId7" w:history="1">
        <w:proofErr w:type="spellStart"/>
        <w:r w:rsidR="005C6521">
          <w:rPr>
            <w:rStyle w:val="Hyperlink"/>
            <w:rFonts w:ascii="Segoe UI" w:hAnsi="Segoe UI" w:cs="Segoe UI"/>
            <w:shd w:val="clear" w:color="auto" w:fill="FFFFFF"/>
          </w:rPr>
          <w:t>Foldr</w:t>
        </w:r>
        <w:proofErr w:type="spellEnd"/>
      </w:hyperlink>
      <w:r w:rsidR="00EB17ED">
        <w:rPr>
          <w:rFonts w:ascii="Trebuchet MS" w:eastAsia="Times New Roman" w:hAnsi="Trebuchet MS" w:cs="Arial"/>
          <w:color w:val="0B0C0C"/>
          <w:lang w:eastAsia="en-GB"/>
        </w:rPr>
        <w:t>.</w:t>
      </w:r>
      <w:r w:rsidR="00D3356C">
        <w:rPr>
          <w:rFonts w:ascii="Trebuchet MS" w:eastAsia="Times New Roman" w:hAnsi="Trebuchet MS" w:cs="Arial"/>
          <w:color w:val="0B0C0C"/>
          <w:lang w:eastAsia="en-GB"/>
        </w:rPr>
        <w:t xml:space="preserve"> </w:t>
      </w:r>
      <w:r w:rsidRPr="00834AFA">
        <w:rPr>
          <w:rFonts w:ascii="Trebuchet MS" w:eastAsia="Times New Roman" w:hAnsi="Trebuchet MS" w:cs="Arial"/>
          <w:color w:val="0B0C0C"/>
          <w:lang w:eastAsia="en-GB"/>
        </w:rPr>
        <w:t xml:space="preserve">Add your school number </w:t>
      </w:r>
      <w:r w:rsidR="00F52708">
        <w:rPr>
          <w:rFonts w:ascii="Trebuchet MS" w:eastAsia="Times New Roman" w:hAnsi="Trebuchet MS" w:cs="Arial"/>
          <w:color w:val="0B0C0C"/>
          <w:lang w:eastAsia="en-GB"/>
        </w:rPr>
        <w:t xml:space="preserve">(80XXXXX) </w:t>
      </w:r>
      <w:r w:rsidRPr="00834AFA">
        <w:rPr>
          <w:rFonts w:ascii="Trebuchet MS" w:eastAsia="Times New Roman" w:hAnsi="Trebuchet MS" w:cs="Arial"/>
          <w:color w:val="0B0C0C"/>
          <w:lang w:eastAsia="en-GB"/>
        </w:rPr>
        <w:t xml:space="preserve">to </w:t>
      </w:r>
      <w:r w:rsidR="0013328D" w:rsidRPr="00834AFA">
        <w:rPr>
          <w:rFonts w:ascii="Trebuchet MS" w:eastAsia="Times New Roman" w:hAnsi="Trebuchet MS" w:cs="Arial"/>
          <w:color w:val="0B0C0C"/>
          <w:lang w:eastAsia="en-GB"/>
        </w:rPr>
        <w:t xml:space="preserve">find your school’s data and complete the orange cells at the bottom of the spreadsheet (which are necessary to produce a custom dashboard.  </w:t>
      </w:r>
      <w:r w:rsidR="00F70134">
        <w:rPr>
          <w:rFonts w:ascii="Trebuchet MS" w:eastAsia="Times New Roman" w:hAnsi="Trebuchet MS" w:cs="Arial"/>
          <w:color w:val="0B0C0C"/>
          <w:lang w:eastAsia="en-GB"/>
        </w:rPr>
        <w:t>These should be completed in respect of in-year data (</w:t>
      </w:r>
      <w:proofErr w:type="gramStart"/>
      <w:r w:rsidR="00F70134">
        <w:rPr>
          <w:rFonts w:ascii="Trebuchet MS" w:eastAsia="Times New Roman" w:hAnsi="Trebuchet MS" w:cs="Arial"/>
          <w:color w:val="0B0C0C"/>
          <w:lang w:eastAsia="en-GB"/>
        </w:rPr>
        <w:t>i.e.</w:t>
      </w:r>
      <w:proofErr w:type="gramEnd"/>
      <w:r w:rsidR="00F70134">
        <w:rPr>
          <w:rFonts w:ascii="Trebuchet MS" w:eastAsia="Times New Roman" w:hAnsi="Trebuchet MS" w:cs="Arial"/>
          <w:color w:val="0B0C0C"/>
          <w:lang w:eastAsia="en-GB"/>
        </w:rPr>
        <w:t xml:space="preserve"> Oct 22 pupil census numbers and staffing data from the Employee Scenario used for your Submitted 2022-23 Budget). </w:t>
      </w:r>
      <w:r w:rsidR="0013328D" w:rsidRPr="00834AFA">
        <w:rPr>
          <w:rFonts w:ascii="Trebuchet MS" w:eastAsia="Times New Roman" w:hAnsi="Trebuchet MS" w:cs="Arial"/>
          <w:color w:val="0B0C0C"/>
          <w:lang w:eastAsia="en-GB"/>
        </w:rPr>
        <w:t xml:space="preserve">The other boxes </w:t>
      </w:r>
      <w:r w:rsidR="00834AFA">
        <w:rPr>
          <w:rFonts w:ascii="Trebuchet MS" w:eastAsia="Times New Roman" w:hAnsi="Trebuchet MS" w:cs="Arial"/>
          <w:color w:val="0B0C0C"/>
          <w:lang w:eastAsia="en-GB"/>
        </w:rPr>
        <w:t xml:space="preserve">as outlined below </w:t>
      </w:r>
      <w:r w:rsidR="0013328D" w:rsidRPr="00834AFA">
        <w:rPr>
          <w:rFonts w:ascii="Trebuchet MS" w:eastAsia="Times New Roman" w:hAnsi="Trebuchet MS" w:cs="Arial"/>
          <w:color w:val="0B0C0C"/>
          <w:lang w:eastAsia="en-GB"/>
        </w:rPr>
        <w:t xml:space="preserve">are </w:t>
      </w:r>
      <w:r w:rsidR="00CC3945">
        <w:rPr>
          <w:rFonts w:ascii="Trebuchet MS" w:eastAsia="Times New Roman" w:hAnsi="Trebuchet MS" w:cs="Arial"/>
          <w:color w:val="0B0C0C"/>
          <w:lang w:eastAsia="en-GB"/>
        </w:rPr>
        <w:t>not imperative</w:t>
      </w:r>
      <w:r w:rsidR="0013328D" w:rsidRPr="00834AFA">
        <w:rPr>
          <w:rFonts w:ascii="Trebuchet MS" w:eastAsia="Times New Roman" w:hAnsi="Trebuchet MS" w:cs="Arial"/>
          <w:color w:val="0B0C0C"/>
          <w:lang w:eastAsia="en-GB"/>
        </w:rPr>
        <w:t xml:space="preserve"> but recommended.</w:t>
      </w:r>
      <w:r w:rsidR="00834AFA" w:rsidRPr="00834AFA">
        <w:rPr>
          <w:rFonts w:ascii="Trebuchet MS" w:eastAsia="Times New Roman" w:hAnsi="Trebuchet MS" w:cs="Arial"/>
          <w:b/>
          <w:bCs/>
          <w:color w:val="0B0C0C"/>
          <w:lang w:eastAsia="en-GB"/>
        </w:rPr>
        <w:t xml:space="preserve"> </w:t>
      </w:r>
    </w:p>
    <w:p w14:paraId="1DF2E7FD" w14:textId="77777777" w:rsidR="00834AFA" w:rsidRPr="00F51041" w:rsidRDefault="00834AFA" w:rsidP="00834AFA">
      <w:pPr>
        <w:shd w:val="clear" w:color="auto" w:fill="FFFFFF"/>
        <w:spacing w:before="300" w:after="300" w:line="240" w:lineRule="auto"/>
        <w:ind w:firstLine="709"/>
        <w:textAlignment w:val="baseline"/>
        <w:rPr>
          <w:rFonts w:ascii="Trebuchet MS" w:eastAsia="Times New Roman" w:hAnsi="Trebuchet MS" w:cs="Arial"/>
          <w:color w:val="0B0C0C"/>
          <w:lang w:eastAsia="en-GB"/>
        </w:rPr>
      </w:pPr>
      <w:r w:rsidRPr="00F51041">
        <w:rPr>
          <w:rFonts w:ascii="Trebuchet MS" w:eastAsia="Times New Roman" w:hAnsi="Trebuchet MS" w:cs="Arial"/>
          <w:color w:val="0B0C0C"/>
          <w:lang w:eastAsia="en-GB"/>
        </w:rPr>
        <w:t>All schools:</w:t>
      </w:r>
      <w:r>
        <w:rPr>
          <w:rFonts w:ascii="Trebuchet MS" w:eastAsia="Times New Roman" w:hAnsi="Trebuchet MS" w:cs="Arial"/>
          <w:color w:val="0B0C0C"/>
          <w:lang w:eastAsia="en-GB"/>
        </w:rPr>
        <w:tab/>
        <w:t xml:space="preserve"> </w:t>
      </w:r>
      <w:r w:rsidRPr="00F51041">
        <w:rPr>
          <w:rFonts w:ascii="Trebuchet MS" w:eastAsia="Times New Roman" w:hAnsi="Trebuchet MS" w:cs="Arial"/>
          <w:color w:val="0B0C0C"/>
          <w:lang w:eastAsia="en-GB"/>
        </w:rPr>
        <w:t>Predicted percentage pupil number change in 3-5 years</w:t>
      </w:r>
    </w:p>
    <w:p w14:paraId="0ABAA3BD" w14:textId="77777777" w:rsidR="00834AFA" w:rsidRPr="00D8755A" w:rsidRDefault="00834AFA" w:rsidP="00834AFA">
      <w:pPr>
        <w:shd w:val="clear" w:color="auto" w:fill="FFFFFF"/>
        <w:spacing w:before="300" w:after="300" w:line="240" w:lineRule="auto"/>
        <w:ind w:firstLine="709"/>
        <w:textAlignment w:val="baseline"/>
        <w:rPr>
          <w:rFonts w:ascii="Trebuchet MS" w:eastAsia="Times New Roman" w:hAnsi="Trebuchet MS" w:cs="Arial"/>
          <w:b/>
          <w:bCs/>
          <w:color w:val="0B0C0C"/>
          <w:lang w:eastAsia="en-GB"/>
        </w:rPr>
      </w:pPr>
      <w:r w:rsidRPr="00D8755A">
        <w:rPr>
          <w:rFonts w:ascii="Trebuchet MS" w:eastAsia="Times New Roman" w:hAnsi="Trebuchet MS" w:cs="Arial"/>
          <w:b/>
          <w:bCs/>
          <w:color w:val="0B0C0C"/>
          <w:lang w:eastAsia="en-GB"/>
        </w:rPr>
        <w:t>On the raw data sheet:</w:t>
      </w:r>
    </w:p>
    <w:p w14:paraId="3528406F" w14:textId="77777777" w:rsidR="00834AFA" w:rsidRDefault="00834AFA" w:rsidP="00834AFA">
      <w:pPr>
        <w:shd w:val="clear" w:color="auto" w:fill="FFFFFF"/>
        <w:spacing w:before="300" w:after="0" w:line="240" w:lineRule="auto"/>
        <w:ind w:left="360" w:firstLine="360"/>
        <w:textAlignment w:val="baseline"/>
        <w:rPr>
          <w:rFonts w:ascii="Trebuchet MS" w:eastAsia="Times New Roman" w:hAnsi="Trebuchet MS" w:cs="Arial"/>
          <w:color w:val="0B0C0C"/>
          <w:lang w:eastAsia="en-GB"/>
        </w:rPr>
      </w:pPr>
      <w:r w:rsidRPr="00D8755A">
        <w:rPr>
          <w:rFonts w:ascii="Trebuchet MS" w:eastAsia="Times New Roman" w:hAnsi="Trebuchet MS" w:cs="Arial"/>
          <w:color w:val="0B0C0C"/>
          <w:lang w:eastAsia="en-GB"/>
        </w:rPr>
        <w:t>Secondary school</w:t>
      </w:r>
      <w:r>
        <w:rPr>
          <w:rFonts w:ascii="Trebuchet MS" w:eastAsia="Times New Roman" w:hAnsi="Trebuchet MS" w:cs="Arial"/>
          <w:color w:val="0B0C0C"/>
          <w:lang w:eastAsia="en-GB"/>
        </w:rPr>
        <w:t>s:</w:t>
      </w:r>
      <w:r>
        <w:rPr>
          <w:rFonts w:ascii="Trebuchet MS" w:eastAsia="Times New Roman" w:hAnsi="Trebuchet MS" w:cs="Arial"/>
          <w:color w:val="0B0C0C"/>
          <w:lang w:eastAsia="en-GB"/>
        </w:rPr>
        <w:tab/>
      </w:r>
      <w:r w:rsidRPr="00D8755A">
        <w:rPr>
          <w:rFonts w:ascii="Trebuchet MS" w:eastAsia="Times New Roman" w:hAnsi="Trebuchet MS" w:cs="Arial"/>
          <w:color w:val="0B0C0C"/>
          <w:lang w:eastAsia="en-GB"/>
        </w:rPr>
        <w:t>Teaching Periods in the timetable cycle</w:t>
      </w:r>
    </w:p>
    <w:p w14:paraId="643CB3B2" w14:textId="77777777" w:rsidR="00834AFA" w:rsidRPr="00F51041" w:rsidRDefault="00834AFA" w:rsidP="00834AFA">
      <w:pPr>
        <w:shd w:val="clear" w:color="auto" w:fill="FFFFFF"/>
        <w:spacing w:after="0" w:line="240" w:lineRule="auto"/>
        <w:ind w:left="2160" w:firstLine="720"/>
        <w:textAlignment w:val="baseline"/>
        <w:rPr>
          <w:rFonts w:ascii="Trebuchet MS" w:eastAsia="Times New Roman" w:hAnsi="Trebuchet MS" w:cs="Arial"/>
          <w:color w:val="0B0C0C"/>
          <w:lang w:eastAsia="en-GB"/>
        </w:rPr>
      </w:pPr>
      <w:r w:rsidRPr="00F51041">
        <w:rPr>
          <w:rFonts w:ascii="Trebuchet MS" w:eastAsia="Times New Roman" w:hAnsi="Trebuchet MS" w:cs="Arial"/>
          <w:color w:val="0B0C0C"/>
          <w:lang w:eastAsia="en-GB"/>
        </w:rPr>
        <w:lastRenderedPageBreak/>
        <w:t>Total lessons taught by all teachers in the timetable cycle</w:t>
      </w:r>
    </w:p>
    <w:p w14:paraId="07C6978C" w14:textId="77777777" w:rsidR="00834AFA" w:rsidRDefault="00834AFA" w:rsidP="00834AFA">
      <w:pPr>
        <w:shd w:val="clear" w:color="auto" w:fill="FFFFFF"/>
        <w:spacing w:after="0" w:line="240" w:lineRule="auto"/>
        <w:ind w:left="2552" w:firstLine="360"/>
        <w:textAlignment w:val="baseline"/>
        <w:rPr>
          <w:rFonts w:ascii="Trebuchet MS" w:eastAsia="Times New Roman" w:hAnsi="Trebuchet MS" w:cs="Arial"/>
          <w:color w:val="0B0C0C"/>
          <w:lang w:eastAsia="en-GB"/>
        </w:rPr>
      </w:pPr>
    </w:p>
    <w:p w14:paraId="68B08E34" w14:textId="77777777" w:rsidR="00834AFA" w:rsidRPr="00DD30B2" w:rsidRDefault="00834AFA" w:rsidP="00834AFA">
      <w:pPr>
        <w:shd w:val="clear" w:color="auto" w:fill="FFFFFF"/>
        <w:spacing w:after="0" w:line="240" w:lineRule="auto"/>
        <w:ind w:left="2552" w:hanging="1832"/>
        <w:textAlignment w:val="baseline"/>
        <w:rPr>
          <w:rFonts w:ascii="Trebuchet MS" w:eastAsia="Times New Roman" w:hAnsi="Trebuchet MS" w:cs="Arial"/>
          <w:color w:val="0B0C0C"/>
          <w:lang w:eastAsia="en-GB"/>
        </w:rPr>
      </w:pPr>
      <w:r>
        <w:rPr>
          <w:rFonts w:ascii="Trebuchet MS" w:eastAsia="Times New Roman" w:hAnsi="Trebuchet MS" w:cs="Arial"/>
          <w:color w:val="0B0C0C"/>
          <w:lang w:eastAsia="en-GB"/>
        </w:rPr>
        <w:t xml:space="preserve"> Primary schools:</w:t>
      </w:r>
      <w:r>
        <w:rPr>
          <w:rFonts w:ascii="Trebuchet MS" w:eastAsia="Times New Roman" w:hAnsi="Trebuchet MS" w:cs="Arial"/>
          <w:color w:val="0B0C0C"/>
          <w:lang w:eastAsia="en-GB"/>
        </w:rPr>
        <w:tab/>
      </w:r>
      <w:r>
        <w:rPr>
          <w:rFonts w:ascii="Trebuchet MS" w:eastAsia="Times New Roman" w:hAnsi="Trebuchet MS" w:cs="Arial"/>
          <w:color w:val="0B0C0C"/>
          <w:lang w:eastAsia="en-GB"/>
        </w:rPr>
        <w:tab/>
        <w:t>Total number of classes</w:t>
      </w:r>
    </w:p>
    <w:p w14:paraId="01BB2DD3" w14:textId="584C5182" w:rsidR="00EF33D0" w:rsidRPr="00834AFA" w:rsidRDefault="00EF33D0" w:rsidP="008D3968">
      <w:pPr>
        <w:shd w:val="clear" w:color="auto" w:fill="FFFFFF"/>
        <w:spacing w:after="0" w:line="240" w:lineRule="auto"/>
        <w:textAlignment w:val="baseline"/>
        <w:rPr>
          <w:rFonts w:ascii="Trebuchet MS" w:eastAsia="Times New Roman" w:hAnsi="Trebuchet MS" w:cs="Arial"/>
          <w:color w:val="0B0C0C"/>
          <w:lang w:eastAsia="en-GB"/>
        </w:rPr>
      </w:pPr>
    </w:p>
    <w:p w14:paraId="0167EAFB" w14:textId="0AAE4686" w:rsidR="0013328D" w:rsidRPr="00834AFA" w:rsidRDefault="0013328D" w:rsidP="008D3968">
      <w:pPr>
        <w:shd w:val="clear" w:color="auto" w:fill="FFFFFF"/>
        <w:spacing w:after="0" w:line="240" w:lineRule="auto"/>
        <w:textAlignment w:val="baseline"/>
        <w:rPr>
          <w:rFonts w:ascii="Trebuchet MS" w:eastAsia="Times New Roman" w:hAnsi="Trebuchet MS" w:cs="Arial"/>
          <w:color w:val="0B0C0C"/>
          <w:lang w:eastAsia="en-GB"/>
        </w:rPr>
      </w:pPr>
    </w:p>
    <w:p w14:paraId="5AD44404" w14:textId="633498DE" w:rsidR="0013328D" w:rsidRPr="00834AFA" w:rsidRDefault="0013328D" w:rsidP="008D3968">
      <w:pPr>
        <w:shd w:val="clear" w:color="auto" w:fill="FFFFFF"/>
        <w:spacing w:after="0" w:line="240" w:lineRule="auto"/>
        <w:textAlignment w:val="baseline"/>
        <w:rPr>
          <w:rFonts w:ascii="Trebuchet MS" w:hAnsi="Trebuchet MS"/>
        </w:rPr>
      </w:pPr>
      <w:r w:rsidRPr="00834AFA">
        <w:rPr>
          <w:rFonts w:ascii="Trebuchet MS" w:eastAsia="Times New Roman" w:hAnsi="Trebuchet MS" w:cs="Arial"/>
          <w:color w:val="0B0C0C"/>
          <w:lang w:eastAsia="en-GB"/>
        </w:rPr>
        <w:t xml:space="preserve">Once your data </w:t>
      </w:r>
      <w:r w:rsidR="00CC3945">
        <w:rPr>
          <w:rFonts w:ascii="Trebuchet MS" w:eastAsia="Times New Roman" w:hAnsi="Trebuchet MS" w:cs="Arial"/>
          <w:color w:val="0B0C0C"/>
          <w:lang w:eastAsia="en-GB"/>
        </w:rPr>
        <w:t xml:space="preserve">in the spreadsheet </w:t>
      </w:r>
      <w:r w:rsidRPr="00834AFA">
        <w:rPr>
          <w:rFonts w:ascii="Trebuchet MS" w:eastAsia="Times New Roman" w:hAnsi="Trebuchet MS" w:cs="Arial"/>
          <w:color w:val="0B0C0C"/>
          <w:lang w:eastAsia="en-GB"/>
        </w:rPr>
        <w:t xml:space="preserve">is complete, go to </w:t>
      </w:r>
      <w:hyperlink r:id="rId8" w:history="1">
        <w:r w:rsidRPr="00834AFA">
          <w:rPr>
            <w:rFonts w:ascii="Trebuchet MS" w:hAnsi="Trebuchet MS"/>
            <w:color w:val="0000FF"/>
            <w:u w:val="single"/>
          </w:rPr>
          <w:t>Schools Financial Benchmarking - GOV.UK (schools-financial-benchmarking.service.gov.uk)</w:t>
        </w:r>
      </w:hyperlink>
      <w:r w:rsidRPr="00834AFA">
        <w:rPr>
          <w:rFonts w:ascii="Trebuchet MS" w:hAnsi="Trebuchet MS"/>
        </w:rPr>
        <w:t xml:space="preserve"> </w:t>
      </w:r>
    </w:p>
    <w:p w14:paraId="7B3A660D" w14:textId="09EC7DFD" w:rsidR="0013328D" w:rsidRPr="00834AFA" w:rsidRDefault="0013328D" w:rsidP="008D3968">
      <w:pPr>
        <w:shd w:val="clear" w:color="auto" w:fill="FFFFFF"/>
        <w:spacing w:after="0" w:line="240" w:lineRule="auto"/>
        <w:textAlignment w:val="baseline"/>
        <w:rPr>
          <w:rFonts w:ascii="Trebuchet MS" w:hAnsi="Trebuchet MS"/>
        </w:rPr>
      </w:pPr>
    </w:p>
    <w:p w14:paraId="1D81CEFE" w14:textId="1335F6DC" w:rsidR="0013328D" w:rsidRDefault="0013328D" w:rsidP="008D3968">
      <w:pPr>
        <w:shd w:val="clear" w:color="auto" w:fill="FFFFFF"/>
        <w:spacing w:after="0" w:line="240" w:lineRule="auto"/>
        <w:textAlignment w:val="baseline"/>
        <w:rPr>
          <w:rFonts w:ascii="Trebuchet MS" w:hAnsi="Trebuchet MS"/>
          <w:b/>
          <w:bCs/>
        </w:rPr>
      </w:pPr>
      <w:r w:rsidRPr="00834AFA">
        <w:rPr>
          <w:rFonts w:ascii="Trebuchet MS" w:hAnsi="Trebuchet MS"/>
        </w:rPr>
        <w:t xml:space="preserve">Add your </w:t>
      </w:r>
      <w:proofErr w:type="gramStart"/>
      <w:r w:rsidRPr="00834AFA">
        <w:rPr>
          <w:rFonts w:ascii="Trebuchet MS" w:hAnsi="Trebuchet MS"/>
        </w:rPr>
        <w:t>school</w:t>
      </w:r>
      <w:proofErr w:type="gramEnd"/>
      <w:r w:rsidRPr="00834AFA">
        <w:rPr>
          <w:rFonts w:ascii="Trebuchet MS" w:hAnsi="Trebuchet MS"/>
        </w:rPr>
        <w:t xml:space="preserve"> name and click </w:t>
      </w:r>
      <w:r w:rsidRPr="00834AFA">
        <w:rPr>
          <w:rFonts w:ascii="Trebuchet MS" w:hAnsi="Trebuchet MS"/>
          <w:b/>
          <w:bCs/>
        </w:rPr>
        <w:t>Start a Comparison</w:t>
      </w:r>
    </w:p>
    <w:p w14:paraId="020BCB70" w14:textId="73D97A86" w:rsidR="005D713A" w:rsidRDefault="00856630" w:rsidP="008D3968">
      <w:pPr>
        <w:shd w:val="clear" w:color="auto" w:fill="FFFFFF"/>
        <w:spacing w:after="0" w:line="240" w:lineRule="auto"/>
        <w:textAlignment w:val="baseline"/>
        <w:rPr>
          <w:rFonts w:ascii="Trebuchet MS" w:hAnsi="Trebuchet MS"/>
          <w:b/>
          <w:bCs/>
        </w:rPr>
      </w:pPr>
      <w:r>
        <w:rPr>
          <w:rFonts w:ascii="Trebuchet MS" w:hAnsi="Trebuchet MS"/>
          <w:b/>
          <w:bCs/>
          <w:noProof/>
        </w:rPr>
        <mc:AlternateContent>
          <mc:Choice Requires="wps">
            <w:drawing>
              <wp:anchor distT="0" distB="0" distL="114300" distR="114300" simplePos="0" relativeHeight="251658240" behindDoc="0" locked="0" layoutInCell="1" allowOverlap="1" wp14:anchorId="5199B382" wp14:editId="68FCCA06">
                <wp:simplePos x="0" y="0"/>
                <wp:positionH relativeFrom="column">
                  <wp:posOffset>1706880</wp:posOffset>
                </wp:positionH>
                <wp:positionV relativeFrom="paragraph">
                  <wp:posOffset>64770</wp:posOffset>
                </wp:positionV>
                <wp:extent cx="1074420" cy="819150"/>
                <wp:effectExtent l="38100" t="0" r="30480" b="571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4420" cy="819150"/>
                        </a:xfrm>
                        <a:prstGeom prst="straightConnector1">
                          <a:avLst/>
                        </a:prstGeom>
                        <a:noFill/>
                        <a:ln w="12700">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85BABF" id="_x0000_t32" coordsize="21600,21600" o:spt="32" o:oned="t" path="m,l21600,21600e" filled="f">
                <v:path arrowok="t" fillok="f" o:connecttype="none"/>
                <o:lock v:ext="edit" shapetype="t"/>
              </v:shapetype>
              <v:shape id="AutoShape 2" o:spid="_x0000_s1026" type="#_x0000_t32" style="position:absolute;margin-left:134.4pt;margin-top:5.1pt;width:84.6pt;height:6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uM4QEAAKYDAAAOAAAAZHJzL2Uyb0RvYy54bWysU02P0zAQvSPxHyzfaZJqYZeo6R66FA4L&#10;VNrlB7j+SCwcjzV2m/TfM/ZW7QrEBZGDFXtmnt97M17dz6NjR43Rgu94s6g5016Csr7v+I/n7bs7&#10;zmISXgkHXnf8pCO/X799s5pCq5cwgFMaGYH42E6h40NKoa2qKAc9iriAoD0FDeAoEm2xrxSKidBH&#10;Vy3r+kM1AaqAIHWMdPrwEuTrgm+Mlum7MVEn5jpO3FJZsaz7vFbrlWh7FGGw8kxD/AOLUVhPl16g&#10;HkQS7ID2D6jRSoQIJi0kjBUYY6UuGkhNU/+m5mkQQRctZE4MF5vi/4OV344bv8NMXc7+KTyC/BmZ&#10;h80gfK8LgedToMY12apqCrG9lORNDDtk++krKMoRhwTFhdngyIyz4UsuzOCklM3F9tPFdj0nJumw&#10;qW9vbpbUHUmxu+Zj8770pRJtxsnVAWP6rGFk+afjMaGw/ZA24D11GPDlDnF8jCmzvBbkYg9b61xp&#10;tPNsovuWt3VdWEVwVuVozovY7zcO2VHQrGy3NX1FM0VepyEcvCpogxbqk1csFYM8zTfP8KNWnDlN&#10;zyH/lcwkrLtmJrRkrvtLNrF3/mx1djePcmz3oE47zOLyjoahyDwPbp621/uSdX1e618AAAD//wMA&#10;UEsDBBQABgAIAAAAIQAUEXN/4AAAAAoBAAAPAAAAZHJzL2Rvd25yZXYueG1sTI/BTsMwEETvSPyD&#10;tUjcqENaVSHEqSpUTggh0paKmxsvSVR7HcVuGv6e5QTHnRnNvilWk7NixCF0nhTczxIQSLU3HTUK&#10;dtvnuwxEiJqMtp5QwTcGWJXXV4XOjb/QO45VbASXUMi1gjbGPpcy1C06HWa+R2Lvyw9ORz6HRppB&#10;X7jcWZkmyVI63RF/aHWPTy3Wp+rsFIS3KjOvth+3Lx/7w2d1MJvNwih1ezOtH0FEnOJfGH7xGR1K&#10;Zjr6M5kgrIJ0mTF6ZCNJQXBgMc943JGF+UMKsizk/wnlDwAAAP//AwBQSwECLQAUAAYACAAAACEA&#10;toM4kv4AAADhAQAAEwAAAAAAAAAAAAAAAAAAAAAAW0NvbnRlbnRfVHlwZXNdLnhtbFBLAQItABQA&#10;BgAIAAAAIQA4/SH/1gAAAJQBAAALAAAAAAAAAAAAAAAAAC8BAABfcmVscy8ucmVsc1BLAQItABQA&#10;BgAIAAAAIQCXXDuM4QEAAKYDAAAOAAAAAAAAAAAAAAAAAC4CAABkcnMvZTJvRG9jLnhtbFBLAQIt&#10;ABQABgAIAAAAIQAUEXN/4AAAAAoBAAAPAAAAAAAAAAAAAAAAADsEAABkcnMvZG93bnJldi54bWxQ&#10;SwUGAAAAAAQABADzAAAASAUAAAAA&#10;" strokecolor="red" strokeweight="1pt">
                <v:stroke endarrow="block"/>
              </v:shape>
            </w:pict>
          </mc:Fallback>
        </mc:AlternateContent>
      </w:r>
    </w:p>
    <w:p w14:paraId="17786CC9" w14:textId="77777777" w:rsidR="005D713A" w:rsidRPr="00834AFA" w:rsidRDefault="005D713A" w:rsidP="008D3968">
      <w:pPr>
        <w:shd w:val="clear" w:color="auto" w:fill="FFFFFF"/>
        <w:spacing w:after="0" w:line="240" w:lineRule="auto"/>
        <w:textAlignment w:val="baseline"/>
        <w:rPr>
          <w:rFonts w:ascii="Trebuchet MS" w:hAnsi="Trebuchet MS"/>
          <w:b/>
          <w:bCs/>
        </w:rPr>
      </w:pPr>
    </w:p>
    <w:p w14:paraId="7B2DAAB3" w14:textId="4EA9F52D" w:rsidR="0013328D" w:rsidRPr="00834AFA" w:rsidRDefault="00856630" w:rsidP="008D3968">
      <w:pPr>
        <w:shd w:val="clear" w:color="auto" w:fill="FFFFFF"/>
        <w:spacing w:after="0" w:line="240" w:lineRule="auto"/>
        <w:textAlignment w:val="baseline"/>
        <w:rPr>
          <w:rFonts w:ascii="Trebuchet MS" w:hAnsi="Trebuchet MS"/>
          <w:b/>
          <w:bCs/>
        </w:rPr>
      </w:pPr>
      <w:r>
        <w:rPr>
          <w:noProof/>
        </w:rPr>
        <w:drawing>
          <wp:inline distT="0" distB="0" distL="0" distR="0" wp14:anchorId="692FA061" wp14:editId="5BF8DF06">
            <wp:extent cx="5731510" cy="3222625"/>
            <wp:effectExtent l="0" t="0" r="2540" b="0"/>
            <wp:docPr id="1248430887" name="Picture 1"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30887" name="Picture 1" descr="Graphical user interface, text, email&#10;&#10;Description automatically generated"/>
                    <pic:cNvPicPr/>
                  </pic:nvPicPr>
                  <pic:blipFill>
                    <a:blip r:embed="rId9"/>
                    <a:stretch>
                      <a:fillRect/>
                    </a:stretch>
                  </pic:blipFill>
                  <pic:spPr>
                    <a:xfrm>
                      <a:off x="0" y="0"/>
                      <a:ext cx="5731510" cy="3222625"/>
                    </a:xfrm>
                    <a:prstGeom prst="rect">
                      <a:avLst/>
                    </a:prstGeom>
                  </pic:spPr>
                </pic:pic>
              </a:graphicData>
            </a:graphic>
          </wp:inline>
        </w:drawing>
      </w:r>
    </w:p>
    <w:p w14:paraId="16F9FFB9" w14:textId="77777777" w:rsidR="005D713A" w:rsidRDefault="005D713A" w:rsidP="008D3968">
      <w:pPr>
        <w:shd w:val="clear" w:color="auto" w:fill="FFFFFF"/>
        <w:spacing w:after="0" w:line="240" w:lineRule="auto"/>
        <w:textAlignment w:val="baseline"/>
        <w:rPr>
          <w:rFonts w:ascii="Trebuchet MS" w:hAnsi="Trebuchet MS"/>
        </w:rPr>
      </w:pPr>
    </w:p>
    <w:p w14:paraId="22420C87" w14:textId="18B36D9A" w:rsidR="0013328D" w:rsidRDefault="007E21FA" w:rsidP="008D3968">
      <w:pPr>
        <w:shd w:val="clear" w:color="auto" w:fill="FFFFFF"/>
        <w:spacing w:after="0" w:line="240" w:lineRule="auto"/>
        <w:textAlignment w:val="baseline"/>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5199B382" wp14:editId="7026EA75">
                <wp:simplePos x="0" y="0"/>
                <wp:positionH relativeFrom="column">
                  <wp:posOffset>1752599</wp:posOffset>
                </wp:positionH>
                <wp:positionV relativeFrom="paragraph">
                  <wp:posOffset>118110</wp:posOffset>
                </wp:positionV>
                <wp:extent cx="1990725" cy="1819275"/>
                <wp:effectExtent l="0" t="0" r="66675" b="476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1819275"/>
                        </a:xfrm>
                        <a:prstGeom prst="straightConnector1">
                          <a:avLst/>
                        </a:prstGeom>
                        <a:noFill/>
                        <a:ln w="12700">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D1331" id="AutoShape 3" o:spid="_x0000_s1026" type="#_x0000_t32" style="position:absolute;margin-left:138pt;margin-top:9.3pt;width:156.75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fZ2wEAAJ0DAAAOAAAAZHJzL2Uyb0RvYy54bWysU01vGyEQvVfqf0Dc6/2QUscrr3Nw6l7S&#10;1lLSH4CB3UVlGTRg7/rfd6CO0w/1EoUDYpiZN28ew/puHi07aQwGXMurRcmZdhKUcX3Lvz/tPtxy&#10;FqJwSlhwuuVnHfjd5v279eQbXcMAVmlkBOJCM/mWDzH6piiCHPQowgK8duTsAEcRycS+UCgmQh9t&#10;UZflx2ICVB5B6hDo9v6Xk28yftdpGb91XdCR2ZYTt5h3zPsh7cVmLZoehR+MvNAQr2AxCuOo6BXq&#10;XkTBjmj+gRqNRAjQxYWEsYCuM1LnHqibqvyrm8dBeJ17IXGCv8oU3g5Wfj1t3R4TdTm7R/8A8kdg&#10;DraDcL3OBJ7Onh6uSlIVkw/NNSUZwe+RHaYvoChGHCNkFeYOxwRJ/bE5i32+iq3nyCRdVqtVuaxv&#10;OJPkq26rVb28yTVE85zuMcTPGkaWDi0PEYXph7gF5+hhAatcTJweQkzkRPOckGo72Blr8/taxyaq&#10;US/LMmcEsEYlb4oL2B+2FtlJ0IjsdiWtC40/whCOTmW0QQv1ySkWsy6Oxpon+FErzqymX5BOOTIK&#10;Y18iIxrS1P4nmthbd1E4iZomODQHUOc9puaSRTOQ27zMaxqy3+0c9fKrNj8BAAD//wMAUEsDBBQA&#10;BgAIAAAAIQAiWRF73wAAAAoBAAAPAAAAZHJzL2Rvd25yZXYueG1sTI8/T8MwFMR3JL6D9ZBYELVb&#10;SAghTsW/DowtMLA58SOOiJ+D7bTh29dMMJ7udPe7aj3bge3Rh96RhOVCAENqne6pk/D2urksgIWo&#10;SKvBEUr4wQDr+vSkUqV2B9rifhc7lkoolEqCiXEsOQ+tQavCwo1Iyft03qqYpO+49uqQyu3AV0Lk&#10;3Kqe0oJRIz4abL92k5UgNtcv3YMZw8eTeb+Yts/NN0Yv5fnZfH8HLOIc/8Lwi5/QoU5MjZtIBzZI&#10;WN3k6UtMRpEDS4GsuM2ANRKuRLYEXlf8/4X6CAAA//8DAFBLAQItABQABgAIAAAAIQC2gziS/gAA&#10;AOEBAAATAAAAAAAAAAAAAAAAAAAAAABbQ29udGVudF9UeXBlc10ueG1sUEsBAi0AFAAGAAgAAAAh&#10;ADj9If/WAAAAlAEAAAsAAAAAAAAAAAAAAAAALwEAAF9yZWxzLy5yZWxzUEsBAi0AFAAGAAgAAAAh&#10;AFnMB9nbAQAAnQMAAA4AAAAAAAAAAAAAAAAALgIAAGRycy9lMm9Eb2MueG1sUEsBAi0AFAAGAAgA&#10;AAAhACJZEXvfAAAACgEAAA8AAAAAAAAAAAAAAAAANQQAAGRycy9kb3ducmV2LnhtbFBLBQYAAAAA&#10;BAAEAPMAAABBBQAAAAA=&#10;" strokecolor="red" strokeweight="1pt">
                <v:stroke endarrow="block"/>
              </v:shape>
            </w:pict>
          </mc:Fallback>
        </mc:AlternateContent>
      </w:r>
      <w:r w:rsidR="00834AFA" w:rsidRPr="00834AFA">
        <w:rPr>
          <w:rFonts w:ascii="Trebuchet MS" w:hAnsi="Trebuchet MS"/>
        </w:rPr>
        <w:t xml:space="preserve">Choose </w:t>
      </w:r>
      <w:r w:rsidR="00834AFA" w:rsidRPr="00856630">
        <w:rPr>
          <w:rFonts w:ascii="Trebuchet MS" w:hAnsi="Trebuchet MS"/>
          <w:b/>
          <w:bCs/>
        </w:rPr>
        <w:t>Self-assessment dashboard</w:t>
      </w:r>
      <w:r w:rsidR="00834AFA" w:rsidRPr="00834AFA">
        <w:rPr>
          <w:rFonts w:ascii="Trebuchet MS" w:hAnsi="Trebuchet MS"/>
        </w:rPr>
        <w:t xml:space="preserve"> and you will be directed to the Self</w:t>
      </w:r>
      <w:r w:rsidR="005D713A">
        <w:rPr>
          <w:rFonts w:ascii="Trebuchet MS" w:hAnsi="Trebuchet MS"/>
        </w:rPr>
        <w:t>-</w:t>
      </w:r>
      <w:r w:rsidR="00834AFA" w:rsidRPr="00834AFA">
        <w:rPr>
          <w:rFonts w:ascii="Trebuchet MS" w:hAnsi="Trebuchet MS"/>
        </w:rPr>
        <w:t xml:space="preserve">assessment dashboard for </w:t>
      </w:r>
      <w:r>
        <w:rPr>
          <w:rFonts w:ascii="Trebuchet MS" w:hAnsi="Trebuchet MS"/>
        </w:rPr>
        <w:t>2021-22</w:t>
      </w:r>
      <w:r w:rsidR="00834AFA" w:rsidRPr="00834AFA">
        <w:rPr>
          <w:rFonts w:ascii="Trebuchet MS" w:hAnsi="Trebuchet MS"/>
        </w:rPr>
        <w:t xml:space="preserve"> budget outturn.  </w:t>
      </w:r>
    </w:p>
    <w:p w14:paraId="5772C6D6" w14:textId="4DDCF08C" w:rsidR="005D713A" w:rsidRDefault="005D713A" w:rsidP="008D3968">
      <w:pPr>
        <w:shd w:val="clear" w:color="auto" w:fill="FFFFFF"/>
        <w:spacing w:after="0" w:line="240" w:lineRule="auto"/>
        <w:textAlignment w:val="baseline"/>
        <w:rPr>
          <w:rFonts w:ascii="Trebuchet MS" w:hAnsi="Trebuchet MS"/>
        </w:rPr>
      </w:pPr>
    </w:p>
    <w:p w14:paraId="47C3F6B8" w14:textId="6913FA15" w:rsidR="005D713A" w:rsidRPr="00834AFA" w:rsidRDefault="00856630" w:rsidP="00856630">
      <w:pPr>
        <w:shd w:val="clear" w:color="auto" w:fill="FFFFFF"/>
        <w:spacing w:after="0" w:line="240" w:lineRule="auto"/>
        <w:jc w:val="center"/>
        <w:textAlignment w:val="baseline"/>
        <w:rPr>
          <w:rFonts w:ascii="Trebuchet MS" w:hAnsi="Trebuchet MS"/>
        </w:rPr>
      </w:pPr>
      <w:r>
        <w:rPr>
          <w:noProof/>
        </w:rPr>
        <w:drawing>
          <wp:inline distT="0" distB="0" distL="0" distR="0" wp14:anchorId="3E6DF2F6" wp14:editId="27C71A16">
            <wp:extent cx="3883660" cy="2183644"/>
            <wp:effectExtent l="0" t="0" r="2540" b="7620"/>
            <wp:docPr id="688943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436" name="Picture 1" descr="A screenshot of a computer&#10;&#10;Description automatically generated with medium confidence"/>
                    <pic:cNvPicPr/>
                  </pic:nvPicPr>
                  <pic:blipFill>
                    <a:blip r:embed="rId10"/>
                    <a:stretch>
                      <a:fillRect/>
                    </a:stretch>
                  </pic:blipFill>
                  <pic:spPr>
                    <a:xfrm>
                      <a:off x="0" y="0"/>
                      <a:ext cx="3889687" cy="2187033"/>
                    </a:xfrm>
                    <a:prstGeom prst="rect">
                      <a:avLst/>
                    </a:prstGeom>
                  </pic:spPr>
                </pic:pic>
              </a:graphicData>
            </a:graphic>
          </wp:inline>
        </w:drawing>
      </w:r>
    </w:p>
    <w:p w14:paraId="2FD3969B" w14:textId="63458E06" w:rsidR="00834AFA" w:rsidRPr="00834AFA" w:rsidRDefault="00834AFA" w:rsidP="008D3968">
      <w:pPr>
        <w:shd w:val="clear" w:color="auto" w:fill="FFFFFF"/>
        <w:spacing w:after="0" w:line="240" w:lineRule="auto"/>
        <w:textAlignment w:val="baseline"/>
        <w:rPr>
          <w:rFonts w:ascii="Trebuchet MS" w:hAnsi="Trebuchet MS"/>
        </w:rPr>
      </w:pPr>
    </w:p>
    <w:p w14:paraId="6443661C" w14:textId="77777777" w:rsidR="00856630" w:rsidRDefault="00856630" w:rsidP="00856630">
      <w:pPr>
        <w:shd w:val="clear" w:color="auto" w:fill="FFFFFF"/>
        <w:spacing w:after="0" w:line="240" w:lineRule="auto"/>
        <w:textAlignment w:val="baseline"/>
        <w:rPr>
          <w:rFonts w:ascii="Trebuchet MS" w:hAnsi="Trebuchet MS"/>
        </w:rPr>
      </w:pPr>
    </w:p>
    <w:p w14:paraId="106A524C" w14:textId="77777777" w:rsidR="00856630" w:rsidRDefault="00856630" w:rsidP="00856630">
      <w:pPr>
        <w:shd w:val="clear" w:color="auto" w:fill="FFFFFF"/>
        <w:spacing w:after="0" w:line="240" w:lineRule="auto"/>
        <w:textAlignment w:val="baseline"/>
        <w:rPr>
          <w:rFonts w:ascii="Trebuchet MS" w:hAnsi="Trebuchet MS"/>
        </w:rPr>
      </w:pPr>
    </w:p>
    <w:p w14:paraId="147E6ED8" w14:textId="77777777" w:rsidR="00856630" w:rsidRDefault="00856630" w:rsidP="00856630">
      <w:pPr>
        <w:shd w:val="clear" w:color="auto" w:fill="FFFFFF"/>
        <w:spacing w:after="0" w:line="240" w:lineRule="auto"/>
        <w:textAlignment w:val="baseline"/>
        <w:rPr>
          <w:rFonts w:ascii="Trebuchet MS" w:hAnsi="Trebuchet MS"/>
        </w:rPr>
      </w:pPr>
    </w:p>
    <w:p w14:paraId="2A1AF166" w14:textId="77777777" w:rsidR="00856630" w:rsidRDefault="00856630" w:rsidP="00856630">
      <w:pPr>
        <w:shd w:val="clear" w:color="auto" w:fill="FFFFFF"/>
        <w:spacing w:after="0" w:line="240" w:lineRule="auto"/>
        <w:textAlignment w:val="baseline"/>
        <w:rPr>
          <w:rFonts w:ascii="Trebuchet MS" w:hAnsi="Trebuchet MS"/>
        </w:rPr>
      </w:pPr>
    </w:p>
    <w:p w14:paraId="6342B8F7" w14:textId="77777777" w:rsidR="00856630" w:rsidRDefault="00856630" w:rsidP="00856630">
      <w:pPr>
        <w:shd w:val="clear" w:color="auto" w:fill="FFFFFF"/>
        <w:spacing w:after="0" w:line="240" w:lineRule="auto"/>
        <w:textAlignment w:val="baseline"/>
        <w:rPr>
          <w:rFonts w:ascii="Trebuchet MS" w:hAnsi="Trebuchet MS"/>
        </w:rPr>
      </w:pPr>
    </w:p>
    <w:p w14:paraId="5F8A0E34" w14:textId="77777777" w:rsidR="00856630" w:rsidRDefault="00856630" w:rsidP="00856630">
      <w:pPr>
        <w:shd w:val="clear" w:color="auto" w:fill="FFFFFF"/>
        <w:spacing w:after="0" w:line="240" w:lineRule="auto"/>
        <w:textAlignment w:val="baseline"/>
        <w:rPr>
          <w:rFonts w:ascii="Trebuchet MS" w:hAnsi="Trebuchet MS"/>
        </w:rPr>
      </w:pPr>
    </w:p>
    <w:p w14:paraId="6889B240" w14:textId="77777777" w:rsidR="00856630" w:rsidRDefault="00856630" w:rsidP="00856630">
      <w:pPr>
        <w:shd w:val="clear" w:color="auto" w:fill="FFFFFF"/>
        <w:spacing w:after="0" w:line="240" w:lineRule="auto"/>
        <w:textAlignment w:val="baseline"/>
        <w:rPr>
          <w:rFonts w:ascii="Trebuchet MS" w:hAnsi="Trebuchet MS"/>
        </w:rPr>
      </w:pPr>
    </w:p>
    <w:p w14:paraId="4DE60DC5" w14:textId="3DDE316D" w:rsidR="00856630" w:rsidRDefault="00856630" w:rsidP="00856630">
      <w:pPr>
        <w:shd w:val="clear" w:color="auto" w:fill="FFFFFF"/>
        <w:spacing w:after="0" w:line="240" w:lineRule="auto"/>
        <w:textAlignment w:val="baseline"/>
        <w:rPr>
          <w:rFonts w:ascii="Trebuchet MS" w:hAnsi="Trebuchet MS"/>
        </w:rPr>
      </w:pPr>
      <w:r>
        <w:rPr>
          <w:rFonts w:ascii="Trebuchet MS" w:hAnsi="Trebuchet MS"/>
          <w:noProof/>
        </w:rPr>
        <mc:AlternateContent>
          <mc:Choice Requires="wps">
            <w:drawing>
              <wp:anchor distT="0" distB="0" distL="114300" distR="114300" simplePos="0" relativeHeight="251664384" behindDoc="0" locked="0" layoutInCell="1" allowOverlap="1" wp14:anchorId="5AFAFDB6" wp14:editId="3D8FC459">
                <wp:simplePos x="0" y="0"/>
                <wp:positionH relativeFrom="column">
                  <wp:posOffset>1752599</wp:posOffset>
                </wp:positionH>
                <wp:positionV relativeFrom="paragraph">
                  <wp:posOffset>85725</wp:posOffset>
                </wp:positionV>
                <wp:extent cx="1990725" cy="885825"/>
                <wp:effectExtent l="0" t="0" r="66675" b="66675"/>
                <wp:wrapNone/>
                <wp:docPr id="136376739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885825"/>
                        </a:xfrm>
                        <a:prstGeom prst="straightConnector1">
                          <a:avLst/>
                        </a:prstGeom>
                        <a:noFill/>
                        <a:ln w="12700">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F21B3" id="AutoShape 3" o:spid="_x0000_s1026" type="#_x0000_t32" style="position:absolute;margin-left:138pt;margin-top:6.75pt;width:156.7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M2QEAAJwDAAAOAAAAZHJzL2Uyb0RvYy54bWysU8Fu2zAMvQ/YPwi6L3YCdE2NOD2kyy7d&#10;VqDdByiSbAuTRYFU4uTvR6lpum7YZZgOgig+PpJP1Or2OHpxsEgOQivns1oKGzQYF/pWfn/aflhK&#10;QUkFozwE28qTJXm7fv9uNcXGLmAAbywKJgnUTLGVQ0qxqSrSgx0VzSDawM4OcFSJTewrg2pi9tFX&#10;i7r+WE2AJiJoS8S3d89OuS78XWd1+tZ1ZJPwreTaUtmx7Lu8V+uVanpUcXD6XIb6hypG5QInvVDd&#10;qaTEHt0fVKPTCARdmmkYK+g6p23pgbuZ17918zioaEsvLA7Fi0z0/2j118MmPGAuXR/DY7wH/YNE&#10;gM2gQm9LAU+nyA83z1JVU6TmEpINig8odtMXMIxR+wRFhWOHY6bk/sSxiH26iG2PSWi+nN/c1NeL&#10;Kyk0+5bLqyWfcwrVvERHpPTZwijyoZWUULl+SBsIgd8VcF5yqcM9pefAl4CcOsDWeV+e1wcxcb7F&#10;dV2XCALvTPZmHGG/23gUB8UTst3WvM5lvIEh7IMpbINV5lMwIhVZAk+1zPSjNVJ4y58gnwoyKedf&#10;kQkdS+r/gua2fTgLnDXNA0zNDszpAXNz2eIRKPqcxzXP2K92Qb1+qvVPAAAA//8DAFBLAwQUAAYA&#10;CAAAACEAm89LK98AAAAKAQAADwAAAGRycy9kb3ducmV2LnhtbEyPzU7DMBCE70i8g7VIXBB1aEkp&#10;IU7FXw8cW+DAzYmXOCJeB9tpw9t3OcFtd2c0+025nlwv9hhi50nB1SwDgdR401Gr4O11c7kCEZMm&#10;o3tPqOAHI6yr05NSF8YfaIv7XWoFh1AstAKb0lBIGRuLTseZH5BY+/TB6cRraKUJ+sDhrpfzLFtK&#10;pzviD1YP+Gix+dqNTkG2uX5pH+wQP57s+8W4fa6/MQWlzs+m+zsQCaf0Z4ZffEaHiplqP5KJolcw&#10;v1lyl8TCIgfBhnx1y0PNh3yRgaxK+b9CdQQAAP//AwBQSwECLQAUAAYACAAAACEAtoM4kv4AAADh&#10;AQAAEwAAAAAAAAAAAAAAAAAAAAAAW0NvbnRlbnRfVHlwZXNdLnhtbFBLAQItABQABgAIAAAAIQA4&#10;/SH/1gAAAJQBAAALAAAAAAAAAAAAAAAAAC8BAABfcmVscy8ucmVsc1BLAQItABQABgAIAAAAIQAN&#10;/FAM2QEAAJwDAAAOAAAAAAAAAAAAAAAAAC4CAABkcnMvZTJvRG9jLnhtbFBLAQItABQABgAIAAAA&#10;IQCbz0sr3wAAAAoBAAAPAAAAAAAAAAAAAAAAADMEAABkcnMvZG93bnJldi54bWxQSwUGAAAAAAQA&#10;BADzAAAAPwUAAAAA&#10;" strokecolor="red" strokeweight="1pt">
                <v:stroke endarrow="block"/>
              </v:shape>
            </w:pict>
          </mc:Fallback>
        </mc:AlternateContent>
      </w:r>
      <w:r w:rsidRPr="00834AFA">
        <w:rPr>
          <w:rFonts w:ascii="Trebuchet MS" w:hAnsi="Trebuchet MS"/>
        </w:rPr>
        <w:t xml:space="preserve">Click </w:t>
      </w:r>
      <w:r w:rsidRPr="00856630">
        <w:rPr>
          <w:rFonts w:ascii="Trebuchet MS" w:hAnsi="Trebuchet MS"/>
          <w:b/>
          <w:bCs/>
        </w:rPr>
        <w:t>Add a Custom dashboard</w:t>
      </w:r>
      <w:r w:rsidRPr="00834AFA">
        <w:rPr>
          <w:rFonts w:ascii="Trebuchet MS" w:hAnsi="Trebuchet MS"/>
        </w:rPr>
        <w:t xml:space="preserve"> and name it 20</w:t>
      </w:r>
      <w:r>
        <w:rPr>
          <w:rFonts w:ascii="Trebuchet MS" w:hAnsi="Trebuchet MS"/>
        </w:rPr>
        <w:t>22</w:t>
      </w:r>
      <w:r w:rsidRPr="00834AFA">
        <w:rPr>
          <w:rFonts w:ascii="Trebuchet MS" w:hAnsi="Trebuchet MS"/>
        </w:rPr>
        <w:t>-</w:t>
      </w:r>
      <w:r>
        <w:rPr>
          <w:rFonts w:ascii="Trebuchet MS" w:hAnsi="Trebuchet MS"/>
        </w:rPr>
        <w:t>23</w:t>
      </w:r>
      <w:r w:rsidRPr="00834AFA">
        <w:rPr>
          <w:rFonts w:ascii="Trebuchet MS" w:hAnsi="Trebuchet MS"/>
        </w:rPr>
        <w:t xml:space="preserve"> Submitted Budget. Add the data from the spreadsheet provided.</w:t>
      </w:r>
      <w:r w:rsidRPr="00856630">
        <w:rPr>
          <w:rFonts w:ascii="Trebuchet MS" w:hAnsi="Trebuchet MS"/>
          <w:noProof/>
        </w:rPr>
        <w:t xml:space="preserve"> </w:t>
      </w:r>
    </w:p>
    <w:p w14:paraId="75816698" w14:textId="77777777" w:rsidR="00856630" w:rsidRDefault="00856630" w:rsidP="008D3968">
      <w:pPr>
        <w:shd w:val="clear" w:color="auto" w:fill="FFFFFF"/>
        <w:spacing w:after="0" w:line="240" w:lineRule="auto"/>
        <w:textAlignment w:val="baseline"/>
        <w:rPr>
          <w:rFonts w:ascii="Trebuchet MS" w:hAnsi="Trebuchet MS"/>
        </w:rPr>
      </w:pPr>
    </w:p>
    <w:p w14:paraId="29E9B4DD" w14:textId="6A802AD8" w:rsidR="00856630" w:rsidRDefault="00856630" w:rsidP="00856630">
      <w:pPr>
        <w:shd w:val="clear" w:color="auto" w:fill="FFFFFF"/>
        <w:spacing w:after="0" w:line="240" w:lineRule="auto"/>
        <w:jc w:val="center"/>
        <w:textAlignment w:val="baseline"/>
        <w:rPr>
          <w:rFonts w:ascii="Trebuchet MS" w:hAnsi="Trebuchet MS"/>
        </w:rPr>
      </w:pPr>
      <w:r>
        <w:rPr>
          <w:noProof/>
        </w:rPr>
        <w:drawing>
          <wp:inline distT="0" distB="0" distL="0" distR="0" wp14:anchorId="51F88399" wp14:editId="34F0F0EA">
            <wp:extent cx="3867952" cy="2174813"/>
            <wp:effectExtent l="0" t="0" r="0" b="0"/>
            <wp:docPr id="1074872117"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72117" name="Picture 1" descr="Graphical user interface&#10;&#10;Description automatically generated"/>
                    <pic:cNvPicPr/>
                  </pic:nvPicPr>
                  <pic:blipFill>
                    <a:blip r:embed="rId11"/>
                    <a:stretch>
                      <a:fillRect/>
                    </a:stretch>
                  </pic:blipFill>
                  <pic:spPr>
                    <a:xfrm>
                      <a:off x="0" y="0"/>
                      <a:ext cx="3898915" cy="2192223"/>
                    </a:xfrm>
                    <a:prstGeom prst="rect">
                      <a:avLst/>
                    </a:prstGeom>
                  </pic:spPr>
                </pic:pic>
              </a:graphicData>
            </a:graphic>
          </wp:inline>
        </w:drawing>
      </w:r>
    </w:p>
    <w:p w14:paraId="0B1F8163" w14:textId="77777777" w:rsidR="00856630" w:rsidRDefault="00856630" w:rsidP="008D3968">
      <w:pPr>
        <w:shd w:val="clear" w:color="auto" w:fill="FFFFFF"/>
        <w:spacing w:after="0" w:line="240" w:lineRule="auto"/>
        <w:textAlignment w:val="baseline"/>
        <w:rPr>
          <w:rFonts w:ascii="Trebuchet MS" w:hAnsi="Trebuchet MS"/>
        </w:rPr>
      </w:pPr>
    </w:p>
    <w:p w14:paraId="0B9F456B" w14:textId="77777777" w:rsidR="00856630" w:rsidRDefault="00856630" w:rsidP="008D3968">
      <w:pPr>
        <w:shd w:val="clear" w:color="auto" w:fill="FFFFFF"/>
        <w:spacing w:after="0" w:line="240" w:lineRule="auto"/>
        <w:textAlignment w:val="baseline"/>
        <w:rPr>
          <w:rFonts w:ascii="Trebuchet MS" w:hAnsi="Trebuchet MS"/>
        </w:rPr>
      </w:pPr>
    </w:p>
    <w:p w14:paraId="7E667496" w14:textId="4F6C5FAD" w:rsidR="00834AFA" w:rsidRDefault="00834AFA" w:rsidP="008D3968">
      <w:pPr>
        <w:shd w:val="clear" w:color="auto" w:fill="FFFFFF"/>
        <w:spacing w:after="0" w:line="240" w:lineRule="auto"/>
        <w:textAlignment w:val="baseline"/>
        <w:rPr>
          <w:rFonts w:ascii="Trebuchet MS" w:hAnsi="Trebuchet MS"/>
        </w:rPr>
      </w:pPr>
      <w:r w:rsidRPr="00834AFA">
        <w:rPr>
          <w:rFonts w:ascii="Trebuchet MS" w:hAnsi="Trebuchet MS"/>
        </w:rPr>
        <w:t>You will be able to download this report with both dashboards side by side for comparison if you wish.</w:t>
      </w:r>
    </w:p>
    <w:p w14:paraId="1B03F263" w14:textId="01768E45" w:rsidR="0061103A" w:rsidRDefault="0061103A" w:rsidP="008D3968">
      <w:pPr>
        <w:shd w:val="clear" w:color="auto" w:fill="FFFFFF"/>
        <w:spacing w:after="0" w:line="240" w:lineRule="auto"/>
        <w:textAlignment w:val="baseline"/>
        <w:rPr>
          <w:rFonts w:ascii="Trebuchet MS" w:hAnsi="Trebuchet MS"/>
        </w:rPr>
      </w:pPr>
    </w:p>
    <w:p w14:paraId="3C3C996D" w14:textId="189F26F6" w:rsidR="0061103A" w:rsidRDefault="0061103A" w:rsidP="008D3968">
      <w:pPr>
        <w:shd w:val="clear" w:color="auto" w:fill="FFFFFF"/>
        <w:spacing w:after="0" w:line="240" w:lineRule="auto"/>
        <w:textAlignment w:val="baseline"/>
        <w:rPr>
          <w:rFonts w:ascii="Trebuchet MS" w:hAnsi="Trebuchet MS"/>
        </w:rPr>
      </w:pPr>
      <w:r w:rsidRPr="00CC3945">
        <w:rPr>
          <w:rFonts w:ascii="Trebuchet MS" w:hAnsi="Trebuchet MS"/>
          <w:b/>
          <w:bCs/>
        </w:rPr>
        <w:t>Appendix 1</w:t>
      </w:r>
      <w:r>
        <w:rPr>
          <w:rFonts w:ascii="Trebuchet MS" w:hAnsi="Trebuchet MS"/>
        </w:rPr>
        <w:t xml:space="preserve"> </w:t>
      </w:r>
      <w:r w:rsidR="00792E35">
        <w:rPr>
          <w:rFonts w:ascii="Trebuchet MS" w:hAnsi="Trebuchet MS"/>
        </w:rPr>
        <w:t>provides</w:t>
      </w:r>
      <w:r>
        <w:rPr>
          <w:rFonts w:ascii="Trebuchet MS" w:hAnsi="Trebuchet MS"/>
        </w:rPr>
        <w:t xml:space="preserve"> additional information to help schools interpret the dashboard.</w:t>
      </w:r>
    </w:p>
    <w:p w14:paraId="2CA678EB" w14:textId="0979A924" w:rsidR="00C37A7E" w:rsidRDefault="00C37A7E" w:rsidP="008D3968">
      <w:pPr>
        <w:shd w:val="clear" w:color="auto" w:fill="FFFFFF"/>
        <w:spacing w:after="0" w:line="240" w:lineRule="auto"/>
        <w:textAlignment w:val="baseline"/>
        <w:rPr>
          <w:rFonts w:ascii="Trebuchet MS" w:hAnsi="Trebuchet MS"/>
        </w:rPr>
      </w:pPr>
    </w:p>
    <w:p w14:paraId="43FAE07A" w14:textId="638925B6" w:rsidR="00C37A7E" w:rsidRDefault="00C37A7E" w:rsidP="008D3968">
      <w:pPr>
        <w:shd w:val="clear" w:color="auto" w:fill="FFFFFF"/>
        <w:spacing w:after="0" w:line="240" w:lineRule="auto"/>
        <w:textAlignment w:val="baseline"/>
        <w:rPr>
          <w:rFonts w:ascii="Trebuchet MS" w:hAnsi="Trebuchet MS"/>
          <w:b/>
          <w:bCs/>
        </w:rPr>
      </w:pPr>
      <w:r w:rsidRPr="00C37A7E">
        <w:rPr>
          <w:rFonts w:ascii="Trebuchet MS" w:hAnsi="Trebuchet MS"/>
          <w:b/>
          <w:bCs/>
        </w:rPr>
        <w:t>Federated Schools</w:t>
      </w:r>
    </w:p>
    <w:p w14:paraId="23EC9D5B" w14:textId="68A02A71" w:rsidR="00C37A7E" w:rsidRPr="00B82DB6" w:rsidRDefault="00C37A7E" w:rsidP="008D3968">
      <w:pPr>
        <w:shd w:val="clear" w:color="auto" w:fill="FFFFFF"/>
        <w:spacing w:after="0" w:line="240" w:lineRule="auto"/>
        <w:textAlignment w:val="baseline"/>
        <w:rPr>
          <w:rFonts w:ascii="Trebuchet MS" w:hAnsi="Trebuchet MS"/>
        </w:rPr>
      </w:pPr>
      <w:r w:rsidRPr="00B82DB6">
        <w:rPr>
          <w:rFonts w:ascii="Trebuchet MS" w:hAnsi="Trebuchet MS"/>
        </w:rPr>
        <w:t xml:space="preserve">We are aware that some aspects of financial benchmarking do not work well for Federated Schools. </w:t>
      </w:r>
    </w:p>
    <w:p w14:paraId="34F7A54B" w14:textId="556D9955" w:rsidR="009B0007" w:rsidRPr="00856630" w:rsidRDefault="00C37A7E" w:rsidP="008D3968">
      <w:pPr>
        <w:shd w:val="clear" w:color="auto" w:fill="FFFFFF"/>
        <w:spacing w:after="0" w:line="240" w:lineRule="auto"/>
        <w:textAlignment w:val="baseline"/>
        <w:rPr>
          <w:rFonts w:ascii="Segoe UI" w:hAnsi="Segoe UI" w:cs="Segoe UI"/>
          <w:b/>
          <w:bCs/>
          <w:color w:val="222222"/>
          <w:shd w:val="clear" w:color="auto" w:fill="FFFFFF"/>
        </w:rPr>
      </w:pPr>
      <w:r w:rsidRPr="00B82DB6">
        <w:rPr>
          <w:rFonts w:ascii="Trebuchet MS" w:hAnsi="Trebuchet MS"/>
        </w:rPr>
        <w:t>We have prepared a federated set of data that can be used to customise a dashboard</w:t>
      </w:r>
      <w:r w:rsidR="00680F28" w:rsidRPr="00B82DB6">
        <w:rPr>
          <w:rFonts w:ascii="Trebuchet MS" w:hAnsi="Trebuchet MS"/>
        </w:rPr>
        <w:t xml:space="preserve"> for your </w:t>
      </w:r>
      <w:r w:rsidR="007E21FA">
        <w:rPr>
          <w:rFonts w:ascii="Trebuchet MS" w:hAnsi="Trebuchet MS"/>
        </w:rPr>
        <w:t>2022-23</w:t>
      </w:r>
      <w:r w:rsidR="00680F28" w:rsidRPr="00B82DB6">
        <w:rPr>
          <w:rFonts w:ascii="Trebuchet MS" w:hAnsi="Trebuchet MS"/>
        </w:rPr>
        <w:t xml:space="preserve"> Submitted Budget</w:t>
      </w:r>
      <w:r w:rsidR="00F90612" w:rsidRPr="00B82DB6">
        <w:rPr>
          <w:rFonts w:ascii="Trebuchet MS" w:hAnsi="Trebuchet MS"/>
        </w:rPr>
        <w:t>s</w:t>
      </w:r>
      <w:r w:rsidR="00680F28" w:rsidRPr="00B82DB6">
        <w:rPr>
          <w:rFonts w:ascii="Trebuchet MS" w:hAnsi="Trebuchet MS"/>
        </w:rPr>
        <w:t>, so you can produce a dashboard for review for your federated schools.</w:t>
      </w:r>
      <w:r w:rsidR="00F90612">
        <w:rPr>
          <w:rFonts w:ascii="Trebuchet MS" w:hAnsi="Trebuchet MS"/>
        </w:rPr>
        <w:t xml:space="preserve">  </w:t>
      </w:r>
      <w:r w:rsidR="004673F5">
        <w:rPr>
          <w:rFonts w:ascii="Trebuchet MS" w:hAnsi="Trebuchet MS"/>
        </w:rPr>
        <w:t>This</w:t>
      </w:r>
      <w:r w:rsidR="00F90612">
        <w:rPr>
          <w:rFonts w:ascii="Trebuchet MS" w:hAnsi="Trebuchet MS"/>
        </w:rPr>
        <w:t xml:space="preserve"> data can </w:t>
      </w:r>
      <w:r w:rsidR="004673F5">
        <w:rPr>
          <w:rFonts w:ascii="Trebuchet MS" w:hAnsi="Trebuchet MS"/>
        </w:rPr>
        <w:t xml:space="preserve">also </w:t>
      </w:r>
      <w:r w:rsidR="00F90612">
        <w:rPr>
          <w:rFonts w:ascii="Trebuchet MS" w:hAnsi="Trebuchet MS"/>
        </w:rPr>
        <w:t>be found</w:t>
      </w:r>
      <w:r w:rsidR="004673F5">
        <w:rPr>
          <w:rFonts w:ascii="Trebuchet MS" w:hAnsi="Trebuchet MS"/>
        </w:rPr>
        <w:t xml:space="preserve"> in </w:t>
      </w:r>
      <w:hyperlink r:id="rId12" w:history="1">
        <w:proofErr w:type="spellStart"/>
        <w:r w:rsidR="005C6521">
          <w:rPr>
            <w:rStyle w:val="Hyperlink"/>
            <w:rFonts w:ascii="Segoe UI" w:hAnsi="Segoe UI" w:cs="Segoe UI"/>
            <w:shd w:val="clear" w:color="auto" w:fill="FFFFFF"/>
          </w:rPr>
          <w:t>Fo</w:t>
        </w:r>
        <w:r w:rsidR="005C6521">
          <w:rPr>
            <w:rStyle w:val="Hyperlink"/>
            <w:rFonts w:ascii="Segoe UI" w:hAnsi="Segoe UI" w:cs="Segoe UI"/>
            <w:shd w:val="clear" w:color="auto" w:fill="FFFFFF"/>
          </w:rPr>
          <w:t>l</w:t>
        </w:r>
        <w:r w:rsidR="005C6521">
          <w:rPr>
            <w:rStyle w:val="Hyperlink"/>
            <w:rFonts w:ascii="Segoe UI" w:hAnsi="Segoe UI" w:cs="Segoe UI"/>
            <w:shd w:val="clear" w:color="auto" w:fill="FFFFFF"/>
          </w:rPr>
          <w:t>dr</w:t>
        </w:r>
        <w:proofErr w:type="spellEnd"/>
        <w:r w:rsidR="005C6521">
          <w:rPr>
            <w:rStyle w:val="Hyperlink"/>
            <w:rFonts w:ascii="Segoe UI" w:hAnsi="Segoe UI" w:cs="Segoe UI"/>
            <w:shd w:val="clear" w:color="auto" w:fill="FFFFFF"/>
          </w:rPr>
          <w:t>.</w:t>
        </w:r>
      </w:hyperlink>
    </w:p>
    <w:p w14:paraId="502F5330" w14:textId="15776600" w:rsidR="00680F28" w:rsidRDefault="00B82DB6" w:rsidP="008D3968">
      <w:pPr>
        <w:shd w:val="clear" w:color="auto" w:fill="FFFFFF"/>
        <w:spacing w:after="0" w:line="240" w:lineRule="auto"/>
        <w:textAlignment w:val="baseline"/>
        <w:rPr>
          <w:rFonts w:ascii="Trebuchet MS" w:eastAsia="Times New Roman" w:hAnsi="Trebuchet MS" w:cs="Arial"/>
          <w:color w:val="0B0C0C"/>
          <w:lang w:eastAsia="en-GB"/>
        </w:rPr>
      </w:pPr>
      <w:r>
        <w:rPr>
          <w:rFonts w:ascii="Trebuchet MS" w:eastAsia="Times New Roman" w:hAnsi="Trebuchet MS" w:cs="Arial"/>
          <w:color w:val="0B0C0C"/>
          <w:lang w:eastAsia="en-GB"/>
        </w:rPr>
        <w:t xml:space="preserve">Use one of your schools to access the tool, add a custom dashboard for your federated data as outlined above for all schools and remove the </w:t>
      </w:r>
      <w:r w:rsidR="007E21FA">
        <w:rPr>
          <w:rFonts w:ascii="Trebuchet MS" w:eastAsia="Times New Roman" w:hAnsi="Trebuchet MS" w:cs="Arial"/>
          <w:color w:val="0B0C0C"/>
          <w:lang w:eastAsia="en-GB"/>
        </w:rPr>
        <w:t>2021-22</w:t>
      </w:r>
      <w:r>
        <w:rPr>
          <w:rFonts w:ascii="Trebuchet MS" w:eastAsia="Times New Roman" w:hAnsi="Trebuchet MS" w:cs="Arial"/>
          <w:color w:val="0B0C0C"/>
          <w:lang w:eastAsia="en-GB"/>
        </w:rPr>
        <w:t xml:space="preserve"> dashboard before printing.</w:t>
      </w:r>
    </w:p>
    <w:p w14:paraId="789FBBC0" w14:textId="77777777" w:rsidR="00680F28" w:rsidRDefault="00680F28" w:rsidP="008D3968">
      <w:pPr>
        <w:shd w:val="clear" w:color="auto" w:fill="FFFFFF"/>
        <w:spacing w:after="0" w:line="240" w:lineRule="auto"/>
        <w:textAlignment w:val="baseline"/>
        <w:rPr>
          <w:rFonts w:ascii="Trebuchet MS" w:eastAsia="Times New Roman" w:hAnsi="Trebuchet MS" w:cs="Arial"/>
          <w:color w:val="0B0C0C"/>
          <w:lang w:eastAsia="en-GB"/>
        </w:rPr>
      </w:pPr>
    </w:p>
    <w:p w14:paraId="7C53616A" w14:textId="1EE2A109" w:rsidR="0081370D" w:rsidRPr="0081370D" w:rsidRDefault="0081370D" w:rsidP="008D3968">
      <w:pPr>
        <w:shd w:val="clear" w:color="auto" w:fill="FFFFFF"/>
        <w:spacing w:after="0" w:line="240" w:lineRule="auto"/>
        <w:textAlignment w:val="baseline"/>
        <w:rPr>
          <w:rFonts w:ascii="Trebuchet MS" w:eastAsia="Times New Roman" w:hAnsi="Trebuchet MS" w:cs="Arial"/>
          <w:b/>
          <w:bCs/>
          <w:color w:val="0B0C0C"/>
          <w:lang w:eastAsia="en-GB"/>
        </w:rPr>
      </w:pPr>
      <w:r w:rsidRPr="0081370D">
        <w:rPr>
          <w:rFonts w:ascii="Trebuchet MS" w:eastAsia="Times New Roman" w:hAnsi="Trebuchet MS" w:cs="Arial"/>
          <w:b/>
          <w:bCs/>
          <w:color w:val="0B0C0C"/>
          <w:lang w:eastAsia="en-GB"/>
        </w:rPr>
        <w:t xml:space="preserve">Benchmark Comparison </w:t>
      </w:r>
    </w:p>
    <w:p w14:paraId="4AB64A4F" w14:textId="77777777" w:rsidR="0081370D" w:rsidRDefault="0081370D" w:rsidP="008D3968">
      <w:pPr>
        <w:shd w:val="clear" w:color="auto" w:fill="FFFFFF"/>
        <w:spacing w:after="0" w:line="240" w:lineRule="auto"/>
        <w:textAlignment w:val="baseline"/>
        <w:rPr>
          <w:rFonts w:ascii="Trebuchet MS" w:eastAsia="Times New Roman" w:hAnsi="Trebuchet MS" w:cs="Arial"/>
          <w:color w:val="0B0C0C"/>
          <w:lang w:eastAsia="en-GB"/>
        </w:rPr>
      </w:pPr>
    </w:p>
    <w:p w14:paraId="2320B080" w14:textId="2475BEE2" w:rsidR="00050610" w:rsidRDefault="00856630" w:rsidP="008D3968">
      <w:pPr>
        <w:shd w:val="clear" w:color="auto" w:fill="FFFFFF"/>
        <w:spacing w:after="0" w:line="240" w:lineRule="auto"/>
        <w:textAlignment w:val="baseline"/>
        <w:rPr>
          <w:rFonts w:ascii="Trebuchet MS" w:eastAsia="Times New Roman" w:hAnsi="Trebuchet MS" w:cs="Arial"/>
          <w:color w:val="0B0C0C"/>
          <w:lang w:eastAsia="en-GB"/>
        </w:rPr>
      </w:pPr>
      <w:r>
        <w:rPr>
          <w:rFonts w:ascii="Trebuchet MS" w:hAnsi="Trebuchet MS"/>
          <w:noProof/>
        </w:rPr>
        <mc:AlternateContent>
          <mc:Choice Requires="wps">
            <w:drawing>
              <wp:anchor distT="0" distB="0" distL="114300" distR="114300" simplePos="0" relativeHeight="251666432" behindDoc="0" locked="0" layoutInCell="1" allowOverlap="1" wp14:anchorId="14CC8132" wp14:editId="3BCDEAA7">
                <wp:simplePos x="0" y="0"/>
                <wp:positionH relativeFrom="column">
                  <wp:posOffset>1352550</wp:posOffset>
                </wp:positionH>
                <wp:positionV relativeFrom="paragraph">
                  <wp:posOffset>138430</wp:posOffset>
                </wp:positionV>
                <wp:extent cx="638175" cy="1228725"/>
                <wp:effectExtent l="0" t="0" r="66675" b="47625"/>
                <wp:wrapNone/>
                <wp:docPr id="14884294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1228725"/>
                        </a:xfrm>
                        <a:prstGeom prst="straightConnector1">
                          <a:avLst/>
                        </a:prstGeom>
                        <a:noFill/>
                        <a:ln w="12700">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21EF1" id="AutoShape 3" o:spid="_x0000_s1026" type="#_x0000_t32" style="position:absolute;margin-left:106.5pt;margin-top:10.9pt;width:50.25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in2gEAAJwDAAAOAAAAZHJzL2Uyb0RvYy54bWysU01vGyEQvVfqf0Dc6/2oElsrr3Nw6l7S&#10;1lLSH4CB3UVlGTRg7/rfd6CO0w/1EoUDYpiZN28ew/puHi07aQwGXMurRcmZdhKUcX3Lvz/tPqw4&#10;C1E4JSw43fKzDvxu8/7devKNrmEAqzQyAnGhmXzLhxh9UxRBDnoUYQFeO3J2gKOIZGJfKBQToY+2&#10;qMvytpgAlUeQOgS6vf/l5JuM33Vaxm9dF3RktuXELeYd835Ie7FZi6ZH4QcjLzTEK1iMwjgqeoW6&#10;F1GwI5p/oEYjEQJ0cSFhLKDrjNS5B+qmKv/q5nEQXudeSJzgrzKFt4OVX09bt8dEXc7u0T+A/BGY&#10;g+0gXK8zgaezp4erklTF5ENzTUlG8Htkh+kLKIoRxwhZhbnDMUFSf2zOYp+vYus5MkmXtx9X1fKG&#10;M0muqq5Xy/omlxDNc7bHED9rGFk6tDxEFKYf4haco3cFrHItcXoIMXETzXNCKu1gZ6zNz2sdm1KN&#10;ZVnmjADWqORNcQH7w9YiOwmakN2upHWh8UcYwtGpjDZooT45xWKWxdFU8wQ/asWZ1fQJ0ilHRmHs&#10;S2REQ5La/0QTe+suAidN0wCH5gDqvMfUXLJoBHKbl3FNM/a7naNePtXmJwAAAP//AwBQSwMEFAAG&#10;AAgAAAAhADhGLbveAAAACgEAAA8AAABkcnMvZG93bnJldi54bWxMj81OwzAQhO9IvIO1SFxQ66Sh&#10;CIU4FX89cGyhB25OvMQR8TrEThvens2p3HZ3RrPfFJvJdeKIQ2g9KUiXCQik2puWGgUf79vFPYgQ&#10;NRndeUIFvxhgU15eFDo3/kQ7PO5jIziEQq4V2Bj7XMpQW3Q6LH2PxNqXH5yOvA6NNIM+cbjr5CpJ&#10;7qTTLfEHq3t8tlh/70enINnevjVPtg+fL/ZwM+5eqx+Mg1LXV9PjA4iIUzybYcZndCiZqfIjmSA6&#10;Bas04y5xHrgCG7I0W4Oo5sM6A1kW8n+F8g8AAP//AwBQSwECLQAUAAYACAAAACEAtoM4kv4AAADh&#10;AQAAEwAAAAAAAAAAAAAAAAAAAAAAW0NvbnRlbnRfVHlwZXNdLnhtbFBLAQItABQABgAIAAAAIQA4&#10;/SH/1gAAAJQBAAALAAAAAAAAAAAAAAAAAC8BAABfcmVscy8ucmVsc1BLAQItABQABgAIAAAAIQBH&#10;olin2gEAAJwDAAAOAAAAAAAAAAAAAAAAAC4CAABkcnMvZTJvRG9jLnhtbFBLAQItABQABgAIAAAA&#10;IQA4Ri273gAAAAoBAAAPAAAAAAAAAAAAAAAAADQEAABkcnMvZG93bnJldi54bWxQSwUGAAAAAAQA&#10;BADzAAAAPwUAAAAA&#10;" strokecolor="red" strokeweight="1pt">
                <v:stroke endarrow="block"/>
              </v:shape>
            </w:pict>
          </mc:Fallback>
        </mc:AlternateContent>
      </w:r>
      <w:r w:rsidR="00F52708">
        <w:rPr>
          <w:rFonts w:ascii="Trebuchet MS" w:eastAsia="Times New Roman" w:hAnsi="Trebuchet MS" w:cs="Arial"/>
          <w:color w:val="0B0C0C"/>
          <w:lang w:eastAsia="en-GB"/>
        </w:rPr>
        <w:t xml:space="preserve">Use the </w:t>
      </w:r>
      <w:r w:rsidR="00F52708" w:rsidRPr="00856630">
        <w:rPr>
          <w:rFonts w:ascii="Trebuchet MS" w:eastAsia="Times New Roman" w:hAnsi="Trebuchet MS" w:cs="Arial"/>
          <w:b/>
          <w:bCs/>
          <w:color w:val="0B0C0C"/>
          <w:lang w:eastAsia="en-GB"/>
        </w:rPr>
        <w:t>Benchmar</w:t>
      </w:r>
      <w:r w:rsidRPr="00856630">
        <w:rPr>
          <w:rFonts w:ascii="Trebuchet MS" w:eastAsia="Times New Roman" w:hAnsi="Trebuchet MS" w:cs="Arial"/>
          <w:b/>
          <w:bCs/>
          <w:color w:val="0B0C0C"/>
          <w:lang w:eastAsia="en-GB"/>
        </w:rPr>
        <w:t>k</w:t>
      </w:r>
      <w:r w:rsidR="00F52708" w:rsidRPr="00856630">
        <w:rPr>
          <w:rFonts w:ascii="Trebuchet MS" w:eastAsia="Times New Roman" w:hAnsi="Trebuchet MS" w:cs="Arial"/>
          <w:b/>
          <w:bCs/>
          <w:color w:val="0B0C0C"/>
          <w:lang w:eastAsia="en-GB"/>
        </w:rPr>
        <w:t xml:space="preserve"> Comparison</w:t>
      </w:r>
      <w:r w:rsidR="00F52708">
        <w:rPr>
          <w:rFonts w:ascii="Trebuchet MS" w:eastAsia="Times New Roman" w:hAnsi="Trebuchet MS" w:cs="Arial"/>
          <w:color w:val="0B0C0C"/>
          <w:lang w:eastAsia="en-GB"/>
        </w:rPr>
        <w:t xml:space="preserve"> available from the same link </w:t>
      </w:r>
      <w:hyperlink r:id="rId13" w:history="1">
        <w:r w:rsidR="00F52708" w:rsidRPr="00834AFA">
          <w:rPr>
            <w:rFonts w:ascii="Trebuchet MS" w:hAnsi="Trebuchet MS"/>
            <w:color w:val="0000FF"/>
            <w:u w:val="single"/>
          </w:rPr>
          <w:t>Schools Financial Benchmarking - GOV.UK (schools-financial-be</w:t>
        </w:r>
        <w:r w:rsidR="00F52708" w:rsidRPr="00834AFA">
          <w:rPr>
            <w:rFonts w:ascii="Trebuchet MS" w:hAnsi="Trebuchet MS"/>
            <w:color w:val="0000FF"/>
            <w:u w:val="single"/>
          </w:rPr>
          <w:t>n</w:t>
        </w:r>
        <w:r w:rsidR="00F52708" w:rsidRPr="00834AFA">
          <w:rPr>
            <w:rFonts w:ascii="Trebuchet MS" w:hAnsi="Trebuchet MS"/>
            <w:color w:val="0000FF"/>
            <w:u w:val="single"/>
          </w:rPr>
          <w:t>chmarking.service.gov.uk)</w:t>
        </w:r>
      </w:hyperlink>
      <w:r w:rsidR="00F52708" w:rsidRPr="00834AFA">
        <w:rPr>
          <w:rFonts w:ascii="Trebuchet MS" w:hAnsi="Trebuchet MS"/>
        </w:rPr>
        <w:t xml:space="preserve"> </w:t>
      </w:r>
      <w:r w:rsidR="00F52708">
        <w:rPr>
          <w:rFonts w:ascii="Trebuchet MS" w:eastAsia="Times New Roman" w:hAnsi="Trebuchet MS" w:cs="Arial"/>
          <w:color w:val="0B0C0C"/>
          <w:lang w:eastAsia="en-GB"/>
        </w:rPr>
        <w:t>or the charts we have provided for you in to investigate those areas highlighted</w:t>
      </w:r>
      <w:r w:rsidR="00BB2249">
        <w:rPr>
          <w:rFonts w:ascii="Trebuchet MS" w:eastAsia="Times New Roman" w:hAnsi="Trebuchet MS" w:cs="Arial"/>
          <w:color w:val="0B0C0C"/>
          <w:lang w:eastAsia="en-GB"/>
        </w:rPr>
        <w:t xml:space="preserve"> on the dashboard as Red or Amber rated.</w:t>
      </w:r>
      <w:r w:rsidR="0081370D">
        <w:rPr>
          <w:rFonts w:ascii="Trebuchet MS" w:eastAsia="Times New Roman" w:hAnsi="Trebuchet MS" w:cs="Arial"/>
          <w:color w:val="0B0C0C"/>
          <w:lang w:eastAsia="en-GB"/>
        </w:rPr>
        <w:t xml:space="preserve"> </w:t>
      </w:r>
    </w:p>
    <w:p w14:paraId="41ED507B" w14:textId="74860967" w:rsidR="00856630" w:rsidRDefault="00856630" w:rsidP="00856630">
      <w:pPr>
        <w:shd w:val="clear" w:color="auto" w:fill="FFFFFF"/>
        <w:spacing w:after="0" w:line="240" w:lineRule="auto"/>
        <w:jc w:val="center"/>
        <w:textAlignment w:val="baseline"/>
        <w:rPr>
          <w:rFonts w:ascii="Trebuchet MS" w:eastAsia="Times New Roman" w:hAnsi="Trebuchet MS" w:cs="Arial"/>
          <w:color w:val="0B0C0C"/>
          <w:lang w:eastAsia="en-GB"/>
        </w:rPr>
      </w:pPr>
      <w:r>
        <w:rPr>
          <w:noProof/>
        </w:rPr>
        <w:drawing>
          <wp:inline distT="0" distB="0" distL="0" distR="0" wp14:anchorId="5523A6C2" wp14:editId="583D9A1E">
            <wp:extent cx="3362110" cy="1890395"/>
            <wp:effectExtent l="0" t="0" r="0" b="0"/>
            <wp:docPr id="21248827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8276" name="Picture 1" descr="Graphical user interface, application&#10;&#10;Description automatically generated"/>
                    <pic:cNvPicPr/>
                  </pic:nvPicPr>
                  <pic:blipFill>
                    <a:blip r:embed="rId14"/>
                    <a:stretch>
                      <a:fillRect/>
                    </a:stretch>
                  </pic:blipFill>
                  <pic:spPr>
                    <a:xfrm>
                      <a:off x="0" y="0"/>
                      <a:ext cx="3381608" cy="1901358"/>
                    </a:xfrm>
                    <a:prstGeom prst="rect">
                      <a:avLst/>
                    </a:prstGeom>
                  </pic:spPr>
                </pic:pic>
              </a:graphicData>
            </a:graphic>
          </wp:inline>
        </w:drawing>
      </w:r>
    </w:p>
    <w:p w14:paraId="2B864902" w14:textId="77777777" w:rsidR="00856630" w:rsidRDefault="00856630" w:rsidP="008D3968">
      <w:pPr>
        <w:shd w:val="clear" w:color="auto" w:fill="FFFFFF"/>
        <w:spacing w:after="0" w:line="240" w:lineRule="auto"/>
        <w:textAlignment w:val="baseline"/>
        <w:rPr>
          <w:rFonts w:ascii="Trebuchet MS" w:eastAsia="Times New Roman" w:hAnsi="Trebuchet MS" w:cs="Arial"/>
          <w:color w:val="0B0C0C"/>
          <w:lang w:eastAsia="en-GB"/>
        </w:rPr>
      </w:pPr>
    </w:p>
    <w:p w14:paraId="4D08B81A" w14:textId="1DDB52A3" w:rsidR="0061103A" w:rsidRDefault="0061103A" w:rsidP="008D3968">
      <w:pPr>
        <w:shd w:val="clear" w:color="auto" w:fill="FFFFFF"/>
        <w:spacing w:after="0" w:line="240" w:lineRule="auto"/>
        <w:textAlignment w:val="baseline"/>
        <w:rPr>
          <w:rFonts w:ascii="Trebuchet MS" w:eastAsia="Times New Roman" w:hAnsi="Trebuchet MS" w:cs="Arial"/>
          <w:color w:val="0B0C0C"/>
          <w:lang w:eastAsia="en-GB"/>
        </w:rPr>
      </w:pPr>
    </w:p>
    <w:p w14:paraId="3335CADA" w14:textId="00607A5E" w:rsidR="001164C2" w:rsidRDefault="007F5E73" w:rsidP="008D3968">
      <w:pPr>
        <w:shd w:val="clear" w:color="auto" w:fill="FFFFFF"/>
        <w:spacing w:after="0" w:line="240" w:lineRule="auto"/>
        <w:textAlignment w:val="baseline"/>
        <w:rPr>
          <w:rFonts w:ascii="Trebuchet MS" w:eastAsia="Times New Roman" w:hAnsi="Trebuchet MS" w:cs="Arial"/>
          <w:color w:val="0B0C0C"/>
          <w:lang w:eastAsia="en-GB"/>
        </w:rPr>
      </w:pPr>
      <w:r>
        <w:rPr>
          <w:rFonts w:ascii="Trebuchet MS" w:eastAsia="Times New Roman" w:hAnsi="Trebuchet MS" w:cs="Arial"/>
          <w:noProof/>
          <w:color w:val="0B0C0C"/>
          <w:lang w:eastAsia="en-GB"/>
        </w:rPr>
        <w:lastRenderedPageBreak/>
        <mc:AlternateContent>
          <mc:Choice Requires="wps">
            <w:drawing>
              <wp:anchor distT="0" distB="0" distL="114300" distR="114300" simplePos="0" relativeHeight="251661312" behindDoc="0" locked="0" layoutInCell="1" allowOverlap="1" wp14:anchorId="5199B382" wp14:editId="47F4B447">
                <wp:simplePos x="0" y="0"/>
                <wp:positionH relativeFrom="column">
                  <wp:posOffset>3221355</wp:posOffset>
                </wp:positionH>
                <wp:positionV relativeFrom="paragraph">
                  <wp:posOffset>311150</wp:posOffset>
                </wp:positionV>
                <wp:extent cx="426720" cy="2038350"/>
                <wp:effectExtent l="57150" t="0" r="30480" b="571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2038350"/>
                        </a:xfrm>
                        <a:prstGeom prst="straightConnector1">
                          <a:avLst/>
                        </a:prstGeom>
                        <a:noFill/>
                        <a:ln w="12700">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C2D5D" id="AutoShape 5" o:spid="_x0000_s1026" type="#_x0000_t32" style="position:absolute;margin-left:253.65pt;margin-top:24.5pt;width:33.6pt;height:16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PK94QEAAKYDAAAOAAAAZHJzL2Uyb0RvYy54bWysU8FuGyEQvVfqPyDu9a43bRKtvM7BqdtD&#10;2lpK8gEY2F1UYNCAvfbfdyCWHTXqpcoe0MLMPN57MyzuDs6yvcZowHd8Pqs5016CMn7o+PPT+tMt&#10;ZzEJr4QFrzt+1JHfLT9+WEyh1Q2MYJVGRiA+tlPo+JhSaKsqylE7EWcQtKdgD+hEoi0OlUIxEbqz&#10;VVPX19UEqAKC1DHS6f1LkC8Lft9rmX71fdSJ2Y4Tt1RWLOs2r9VyIdoBRRiNPNEQ/8HCCePp0jPU&#10;vUiC7dC8gXJGIkTo00yCq6DvjdRFA6mZ13+peRxF0EULmRPD2ab4frDy537lN5ipy4N/DA8gf0fm&#10;YTUKP+hC4OkYqHHzbFU1hdieS/Imhg2y7fQDFOWIXYLiwqFHx3prwvdcmMFJKTsU249n2/UhMUmH&#10;n5vrm4aaIynU1Fe3V19KXyrRZpxcHTCmbxocyz8djwmFGca0Au+pw4Avd4j9Q0yZ5aUgF3tYG2tL&#10;o61nEzFqbuq6sIpgjcrRnBdx2K4ssr2gWVmva/qKZoq8TkPYeVXQRi3UV69YKgZ5mm+e4Z1WnFlN&#10;zyH/lcwkjL1kJjRkrv1HNrG3/mR1djePcmy3oI4bzOLyjoahyDwNbp621/uSdXleyz8AAAD//wMA&#10;UEsDBBQABgAIAAAAIQAdcT5S4AAAAAoBAAAPAAAAZHJzL2Rvd25yZXYueG1sTI/BTsMwEETvSPyD&#10;tUjcqA1NSAnZVAiVE0KIFKi4ufGSRMR2FLtp+HuWExxX+zTzpljPthcTjaHzDuFyoUCQq73pXIPw&#10;un24WIEIUTuje+8I4ZsCrMvTk0Lnxh/dC01VbASHuJBrhDbGIZcy1C1ZHRZ+IMe/Tz9aHfkcG2lG&#10;feRw28srpa6l1Z3jhlYPdN9S/VUdLEJ4rlbmqR+m7eP72+6j2pnNJjGI52fz3S2ISHP8g+FXn9Wh&#10;ZKe9PzgTRI+QqmzJKEJyw5sYSLMkBbFHWGZKgSwL+X9C+QMAAP//AwBQSwECLQAUAAYACAAAACEA&#10;toM4kv4AAADhAQAAEwAAAAAAAAAAAAAAAAAAAAAAW0NvbnRlbnRfVHlwZXNdLnhtbFBLAQItABQA&#10;BgAIAAAAIQA4/SH/1gAAAJQBAAALAAAAAAAAAAAAAAAAAC8BAABfcmVscy8ucmVsc1BLAQItABQA&#10;BgAIAAAAIQBRQPK94QEAAKYDAAAOAAAAAAAAAAAAAAAAAC4CAABkcnMvZTJvRG9jLnhtbFBLAQIt&#10;ABQABgAIAAAAIQAdcT5S4AAAAAoBAAAPAAAAAAAAAAAAAAAAADsEAABkcnMvZG93bnJldi54bWxQ&#10;SwUGAAAAAAQABADzAAAASAUAAAAA&#10;" strokecolor="red" strokeweight="1pt">
                <v:stroke endarrow="block"/>
              </v:shape>
            </w:pict>
          </mc:Fallback>
        </mc:AlternateContent>
      </w:r>
      <w:r>
        <w:rPr>
          <w:rFonts w:ascii="Trebuchet MS" w:eastAsia="Times New Roman" w:hAnsi="Trebuchet MS" w:cs="Arial"/>
          <w:noProof/>
          <w:color w:val="0B0C0C"/>
          <w:lang w:eastAsia="en-GB"/>
        </w:rPr>
        <mc:AlternateContent>
          <mc:Choice Requires="wps">
            <w:drawing>
              <wp:anchor distT="0" distB="0" distL="114300" distR="114300" simplePos="0" relativeHeight="251660288" behindDoc="0" locked="0" layoutInCell="1" allowOverlap="1" wp14:anchorId="5199B382" wp14:editId="66338507">
                <wp:simplePos x="0" y="0"/>
                <wp:positionH relativeFrom="column">
                  <wp:posOffset>1933575</wp:posOffset>
                </wp:positionH>
                <wp:positionV relativeFrom="paragraph">
                  <wp:posOffset>339725</wp:posOffset>
                </wp:positionV>
                <wp:extent cx="152400" cy="1981200"/>
                <wp:effectExtent l="76200" t="0" r="19050" b="571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981200"/>
                        </a:xfrm>
                        <a:prstGeom prst="straightConnector1">
                          <a:avLst/>
                        </a:prstGeom>
                        <a:noFill/>
                        <a:ln w="12700">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67B8" id="AutoShape 4" o:spid="_x0000_s1026" type="#_x0000_t32" style="position:absolute;margin-left:152.25pt;margin-top:26.75pt;width:12pt;height:15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jk3gEAAKYDAAAOAAAAZHJzL2Uyb0RvYy54bWysU8mO2zAMvRfoPwi6N7aDLlMjzhwyTXuY&#10;tgFm5gMULbZQWRQoJXb+vpQmSLpgLkV9EEyRfHx8pFa38+jYUWO04DveLGrOtJegrO87/vS4fXPD&#10;WUzCK+HA646fdOS369evVlNo9RIGcEojIxAf2yl0fEgptFUV5aBHERcQtCenARxFIhP7SqGYCH10&#10;1bKu31cToAoIUsdIt3fPTr4u+MZomb4bE3ViruPELZUTy7nPZ7VeibZHEQYrzzTEP7AYhfVU9AJ1&#10;J5JgB7R/QY1WIkQwaSFhrMAYK3Xpgbpp6j+6eRhE0KUXEieGi0zx/8HKb8eN32GmLmf/EO5B/ojM&#10;w2YQvteFwOMp0OCaLFU1hdheUrIRww7ZfvoKimLEIUFRYTY4MuNs+JITMzh1yuYi++kiu54Tk3TZ&#10;vFu+rWk4klzNx5uG5lqKiTbj5OyAMX3WMLL80/GYUNh+SBvwniYM+FxDHO9jyiyvCTnZw9Y6Vwbt&#10;PJuoxvIDVciuCM6q7C0G9vuNQ3YUtCvbbU3fmcZvYQgHrwraoIX65BVLRSBP+80z/KgVZ07Tc8h/&#10;JTIJ666RCS2J616IJvbOn6XO6uZVju0e1GmHubls0TKUNs+Lm7ftV7tEXZ/X+icAAAD//wMAUEsD&#10;BBQABgAIAAAAIQDWY6Zv4AAAAAoBAAAPAAAAZHJzL2Rvd25yZXYueG1sTI9BT8MwDIXvSPyHyEjc&#10;WMq6TlVpOiE0TgghOmDiljWmrUicqsm68u8xp3Hys/z0/L1yMzsrJhxD70nB7SIBgdR401Or4G33&#10;eJODCFGT0dYTKvjBAJvq8qLUhfEnesWpjq3gEAqFVtDFOBRShqZDp8PCD0h8+/Kj05HXsZVm1CcO&#10;d1Yuk2Qtne6JP3R6wIcOm+/66BSElzo3z3aYdk8f7/vPem+225VR6vpqvr8DEXGOZzP84TM6VMx0&#10;8EcyQVgFabLK2KogS3myIV3mLA4s1lkGsirl/wrVLwAAAP//AwBQSwECLQAUAAYACAAAACEAtoM4&#10;kv4AAADhAQAAEwAAAAAAAAAAAAAAAAAAAAAAW0NvbnRlbnRfVHlwZXNdLnhtbFBLAQItABQABgAI&#10;AAAAIQA4/SH/1gAAAJQBAAALAAAAAAAAAAAAAAAAAC8BAABfcmVscy8ucmVsc1BLAQItABQABgAI&#10;AAAAIQCrDBjk3gEAAKYDAAAOAAAAAAAAAAAAAAAAAC4CAABkcnMvZTJvRG9jLnhtbFBLAQItABQA&#10;BgAIAAAAIQDWY6Zv4AAAAAoBAAAPAAAAAAAAAAAAAAAAADgEAABkcnMvZG93bnJldi54bWxQSwUG&#10;AAAAAAQABADzAAAARQUAAAAA&#10;" strokecolor="red" strokeweight="1pt">
                <v:stroke endarrow="block"/>
              </v:shape>
            </w:pict>
          </mc:Fallback>
        </mc:AlternateContent>
      </w:r>
      <w:r w:rsidR="00CC3945">
        <w:rPr>
          <w:rFonts w:ascii="Trebuchet MS" w:eastAsia="Times New Roman" w:hAnsi="Trebuchet MS" w:cs="Arial"/>
          <w:color w:val="0B0C0C"/>
          <w:lang w:eastAsia="en-GB"/>
        </w:rPr>
        <w:t xml:space="preserve">We used the quick comparison using pre-selected characteristics and academies to select the benchmark set. We used </w:t>
      </w:r>
      <w:r w:rsidR="004F14C4" w:rsidRPr="00577C7B">
        <w:rPr>
          <w:rFonts w:ascii="Trebuchet MS" w:eastAsia="Times New Roman" w:hAnsi="Trebuchet MS" w:cs="Arial"/>
          <w:i/>
          <w:iCs/>
          <w:color w:val="0B0C0C"/>
          <w:lang w:eastAsia="en-GB"/>
        </w:rPr>
        <w:t>‘Per pupil’</w:t>
      </w:r>
      <w:r w:rsidR="004F14C4">
        <w:rPr>
          <w:rFonts w:ascii="Trebuchet MS" w:eastAsia="Times New Roman" w:hAnsi="Trebuchet MS" w:cs="Arial"/>
          <w:color w:val="0B0C0C"/>
          <w:lang w:eastAsia="en-GB"/>
        </w:rPr>
        <w:t xml:space="preserve"> and </w:t>
      </w:r>
      <w:r w:rsidR="004F14C4" w:rsidRPr="00577C7B">
        <w:rPr>
          <w:rFonts w:ascii="Trebuchet MS" w:eastAsia="Times New Roman" w:hAnsi="Trebuchet MS" w:cs="Arial"/>
          <w:i/>
          <w:iCs/>
          <w:color w:val="0B0C0C"/>
          <w:lang w:eastAsia="en-GB"/>
        </w:rPr>
        <w:t>‘Excluded share of trust finance’</w:t>
      </w:r>
      <w:r w:rsidR="004F14C4">
        <w:rPr>
          <w:rFonts w:ascii="Trebuchet MS" w:eastAsia="Times New Roman" w:hAnsi="Trebuchet MS" w:cs="Arial"/>
          <w:color w:val="0B0C0C"/>
          <w:lang w:eastAsia="en-GB"/>
        </w:rPr>
        <w:t xml:space="preserve"> for all benchmarking charts. </w:t>
      </w:r>
    </w:p>
    <w:p w14:paraId="5DE6D39D" w14:textId="3190A343" w:rsidR="001164C2" w:rsidRDefault="001164C2" w:rsidP="008D3968">
      <w:pPr>
        <w:shd w:val="clear" w:color="auto" w:fill="FFFFFF"/>
        <w:spacing w:after="0" w:line="240" w:lineRule="auto"/>
        <w:textAlignment w:val="baseline"/>
        <w:rPr>
          <w:rFonts w:ascii="Trebuchet MS" w:eastAsia="Times New Roman" w:hAnsi="Trebuchet MS" w:cs="Arial"/>
          <w:color w:val="0B0C0C"/>
          <w:lang w:eastAsia="en-GB"/>
        </w:rPr>
      </w:pPr>
    </w:p>
    <w:p w14:paraId="162839D0" w14:textId="3D4F234C" w:rsidR="001164C2" w:rsidRDefault="001164C2" w:rsidP="008D3968">
      <w:pPr>
        <w:shd w:val="clear" w:color="auto" w:fill="FFFFFF"/>
        <w:spacing w:after="0" w:line="240" w:lineRule="auto"/>
        <w:textAlignment w:val="baseline"/>
        <w:rPr>
          <w:rFonts w:ascii="Trebuchet MS" w:eastAsia="Times New Roman" w:hAnsi="Trebuchet MS" w:cs="Arial"/>
          <w:color w:val="0B0C0C"/>
          <w:lang w:eastAsia="en-GB"/>
        </w:rPr>
      </w:pPr>
    </w:p>
    <w:p w14:paraId="1D3AA45E" w14:textId="18208336" w:rsidR="001164C2" w:rsidRDefault="00856630" w:rsidP="008D3968">
      <w:pPr>
        <w:shd w:val="clear" w:color="auto" w:fill="FFFFFF"/>
        <w:spacing w:after="0" w:line="240" w:lineRule="auto"/>
        <w:textAlignment w:val="baseline"/>
        <w:rPr>
          <w:rFonts w:ascii="Trebuchet MS" w:eastAsia="Times New Roman" w:hAnsi="Trebuchet MS" w:cs="Arial"/>
          <w:color w:val="0B0C0C"/>
          <w:lang w:eastAsia="en-GB"/>
        </w:rPr>
      </w:pPr>
      <w:r>
        <w:rPr>
          <w:noProof/>
        </w:rPr>
        <w:drawing>
          <wp:inline distT="0" distB="0" distL="0" distR="0" wp14:anchorId="32565FB2" wp14:editId="547B03AC">
            <wp:extent cx="4647323" cy="2613025"/>
            <wp:effectExtent l="0" t="0" r="1270" b="0"/>
            <wp:docPr id="823915157"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15157" name="Picture 1" descr="Graphical user interface, text, application&#10;&#10;Description automatically generated"/>
                    <pic:cNvPicPr/>
                  </pic:nvPicPr>
                  <pic:blipFill>
                    <a:blip r:embed="rId15"/>
                    <a:stretch>
                      <a:fillRect/>
                    </a:stretch>
                  </pic:blipFill>
                  <pic:spPr>
                    <a:xfrm>
                      <a:off x="0" y="0"/>
                      <a:ext cx="4656873" cy="2618395"/>
                    </a:xfrm>
                    <a:prstGeom prst="rect">
                      <a:avLst/>
                    </a:prstGeom>
                  </pic:spPr>
                </pic:pic>
              </a:graphicData>
            </a:graphic>
          </wp:inline>
        </w:drawing>
      </w:r>
    </w:p>
    <w:p w14:paraId="5A18F518" w14:textId="0B10AAB9" w:rsidR="001164C2" w:rsidRDefault="001164C2" w:rsidP="008D3968">
      <w:pPr>
        <w:shd w:val="clear" w:color="auto" w:fill="FFFFFF"/>
        <w:spacing w:after="0" w:line="240" w:lineRule="auto"/>
        <w:textAlignment w:val="baseline"/>
        <w:rPr>
          <w:rFonts w:ascii="Trebuchet MS" w:eastAsia="Times New Roman" w:hAnsi="Trebuchet MS" w:cs="Arial"/>
          <w:color w:val="0B0C0C"/>
          <w:lang w:eastAsia="en-GB"/>
        </w:rPr>
      </w:pPr>
    </w:p>
    <w:p w14:paraId="5AFED2E4" w14:textId="77777777" w:rsidR="001164C2" w:rsidRDefault="001164C2" w:rsidP="008D3968">
      <w:pPr>
        <w:shd w:val="clear" w:color="auto" w:fill="FFFFFF"/>
        <w:spacing w:after="0" w:line="240" w:lineRule="auto"/>
        <w:textAlignment w:val="baseline"/>
        <w:rPr>
          <w:rFonts w:ascii="Trebuchet MS" w:eastAsia="Times New Roman" w:hAnsi="Trebuchet MS" w:cs="Arial"/>
          <w:color w:val="0B0C0C"/>
          <w:lang w:eastAsia="en-GB"/>
        </w:rPr>
      </w:pPr>
    </w:p>
    <w:p w14:paraId="20E3A9F3" w14:textId="09412A46" w:rsidR="00680F28" w:rsidRDefault="00680F28" w:rsidP="008D3968">
      <w:pPr>
        <w:shd w:val="clear" w:color="auto" w:fill="FFFFFF"/>
        <w:spacing w:after="0" w:line="240" w:lineRule="auto"/>
        <w:textAlignment w:val="baseline"/>
        <w:rPr>
          <w:rFonts w:ascii="Trebuchet MS" w:eastAsia="Times New Roman" w:hAnsi="Trebuchet MS" w:cs="Arial"/>
          <w:color w:val="0B0C0C"/>
          <w:lang w:eastAsia="en-GB"/>
        </w:rPr>
      </w:pPr>
      <w:r>
        <w:rPr>
          <w:rFonts w:ascii="Trebuchet MS" w:eastAsia="Times New Roman" w:hAnsi="Trebuchet MS" w:cs="Arial"/>
          <w:color w:val="0B0C0C"/>
          <w:lang w:eastAsia="en-GB"/>
        </w:rPr>
        <w:t>If you would prefer to produce your own benchmarking charts</w:t>
      </w:r>
      <w:r w:rsidR="004F14C4">
        <w:rPr>
          <w:rFonts w:ascii="Trebuchet MS" w:eastAsia="Times New Roman" w:hAnsi="Trebuchet MS" w:cs="Arial"/>
          <w:color w:val="0B0C0C"/>
          <w:lang w:eastAsia="en-GB"/>
        </w:rPr>
        <w:t xml:space="preserve"> from the website</w:t>
      </w:r>
      <w:r>
        <w:rPr>
          <w:rFonts w:ascii="Trebuchet MS" w:eastAsia="Times New Roman" w:hAnsi="Trebuchet MS" w:cs="Arial"/>
          <w:color w:val="0B0C0C"/>
          <w:lang w:eastAsia="en-GB"/>
        </w:rPr>
        <w:t xml:space="preserve">, it may be easier for you to save the charts you wish to use as an image so you can </w:t>
      </w:r>
      <w:r w:rsidR="0014719B">
        <w:rPr>
          <w:rFonts w:ascii="Trebuchet MS" w:eastAsia="Times New Roman" w:hAnsi="Trebuchet MS" w:cs="Arial"/>
          <w:color w:val="0B0C0C"/>
          <w:lang w:eastAsia="en-GB"/>
        </w:rPr>
        <w:t xml:space="preserve">add to another report with additional narrative. </w:t>
      </w:r>
    </w:p>
    <w:p w14:paraId="23FF839E" w14:textId="1C69031E" w:rsidR="004673F5" w:rsidRDefault="004673F5" w:rsidP="008D3968">
      <w:pPr>
        <w:shd w:val="clear" w:color="auto" w:fill="FFFFFF"/>
        <w:spacing w:after="0" w:line="240" w:lineRule="auto"/>
        <w:textAlignment w:val="baseline"/>
        <w:rPr>
          <w:rFonts w:ascii="Trebuchet MS" w:eastAsia="Times New Roman" w:hAnsi="Trebuchet MS" w:cs="Arial"/>
          <w:color w:val="0B0C0C"/>
          <w:lang w:eastAsia="en-GB"/>
        </w:rPr>
      </w:pPr>
    </w:p>
    <w:p w14:paraId="74BD5323" w14:textId="1288E905" w:rsidR="008B06EA" w:rsidRDefault="004673F5" w:rsidP="008D3968">
      <w:pPr>
        <w:shd w:val="clear" w:color="auto" w:fill="FFFFFF"/>
        <w:spacing w:after="0" w:line="240" w:lineRule="auto"/>
        <w:textAlignment w:val="baseline"/>
        <w:rPr>
          <w:color w:val="0000FF"/>
          <w:u w:val="single"/>
        </w:rPr>
      </w:pPr>
      <w:r>
        <w:rPr>
          <w:rFonts w:ascii="Trebuchet MS" w:eastAsia="Times New Roman" w:hAnsi="Trebuchet MS" w:cs="Arial"/>
          <w:color w:val="0B0C0C"/>
          <w:lang w:eastAsia="en-GB"/>
        </w:rPr>
        <w:t>We have also produced benchmarking charts for you to compare your school with similar sized schools within the Trust.  We have downloaded these charts for each school</w:t>
      </w:r>
      <w:r w:rsidR="001842D9">
        <w:rPr>
          <w:rFonts w:ascii="Trebuchet MS" w:eastAsia="Times New Roman" w:hAnsi="Trebuchet MS" w:cs="Arial"/>
          <w:color w:val="0B0C0C"/>
          <w:lang w:eastAsia="en-GB"/>
        </w:rPr>
        <w:t xml:space="preserve"> and saved in </w:t>
      </w:r>
      <w:proofErr w:type="spellStart"/>
      <w:r w:rsidR="001842D9">
        <w:rPr>
          <w:rFonts w:ascii="Trebuchet MS" w:eastAsia="Times New Roman" w:hAnsi="Trebuchet MS" w:cs="Arial"/>
          <w:color w:val="0B0C0C"/>
          <w:lang w:eastAsia="en-GB"/>
        </w:rPr>
        <w:t>Foldr</w:t>
      </w:r>
      <w:proofErr w:type="spellEnd"/>
      <w:r w:rsidR="001842D9">
        <w:rPr>
          <w:rFonts w:ascii="Trebuchet MS" w:eastAsia="Times New Roman" w:hAnsi="Trebuchet MS" w:cs="Arial"/>
          <w:color w:val="0B0C0C"/>
          <w:lang w:eastAsia="en-GB"/>
        </w:rPr>
        <w:t xml:space="preserve"> </w:t>
      </w:r>
      <w:r>
        <w:rPr>
          <w:rFonts w:ascii="Trebuchet MS" w:eastAsia="Times New Roman" w:hAnsi="Trebuchet MS" w:cs="Arial"/>
          <w:color w:val="0B0C0C"/>
          <w:lang w:eastAsia="en-GB"/>
        </w:rPr>
        <w:t xml:space="preserve">but have also saved the links so that you can access them from the benchmarking site as well.  You can find the links to the </w:t>
      </w:r>
      <w:r w:rsidR="008237A9">
        <w:rPr>
          <w:rFonts w:ascii="Trebuchet MS" w:eastAsia="Times New Roman" w:hAnsi="Trebuchet MS" w:cs="Arial"/>
          <w:color w:val="0B0C0C"/>
          <w:lang w:eastAsia="en-GB"/>
        </w:rPr>
        <w:t>charts</w:t>
      </w:r>
      <w:r w:rsidR="00EB17ED">
        <w:rPr>
          <w:rFonts w:ascii="Trebuchet MS" w:eastAsia="Times New Roman" w:hAnsi="Trebuchet MS" w:cs="Arial"/>
          <w:color w:val="0B0C0C"/>
          <w:lang w:eastAsia="en-GB"/>
        </w:rPr>
        <w:t xml:space="preserve"> in</w:t>
      </w:r>
      <w:r w:rsidR="008237A9">
        <w:rPr>
          <w:rFonts w:ascii="Trebuchet MS" w:eastAsia="Times New Roman" w:hAnsi="Trebuchet MS" w:cs="Arial"/>
          <w:color w:val="0B0C0C"/>
          <w:lang w:eastAsia="en-GB"/>
        </w:rPr>
        <w:t xml:space="preserve"> </w:t>
      </w:r>
      <w:hyperlink r:id="rId16" w:history="1">
        <w:proofErr w:type="spellStart"/>
        <w:r w:rsidR="00EB17ED">
          <w:rPr>
            <w:color w:val="0000FF"/>
            <w:u w:val="single"/>
          </w:rPr>
          <w:t>Foldr</w:t>
        </w:r>
        <w:proofErr w:type="spellEnd"/>
      </w:hyperlink>
      <w:r w:rsidR="00567978">
        <w:rPr>
          <w:color w:val="0000FF"/>
          <w:u w:val="single"/>
        </w:rPr>
        <w:t>.</w:t>
      </w:r>
    </w:p>
    <w:p w14:paraId="18136E74" w14:textId="3712634F" w:rsidR="00567978" w:rsidRDefault="00567978" w:rsidP="008D3968">
      <w:pPr>
        <w:shd w:val="clear" w:color="auto" w:fill="FFFFFF"/>
        <w:spacing w:after="0" w:line="240" w:lineRule="auto"/>
        <w:textAlignment w:val="baseline"/>
        <w:rPr>
          <w:color w:val="0000FF"/>
          <w:u w:val="single"/>
        </w:rPr>
      </w:pPr>
    </w:p>
    <w:p w14:paraId="010BC478" w14:textId="77777777" w:rsidR="008B06EA" w:rsidRDefault="008B06EA" w:rsidP="008D3968">
      <w:pPr>
        <w:shd w:val="clear" w:color="auto" w:fill="FFFFFF"/>
        <w:spacing w:after="0" w:line="240" w:lineRule="auto"/>
        <w:textAlignment w:val="baseline"/>
        <w:rPr>
          <w:rFonts w:ascii="Trebuchet MS" w:eastAsia="Times New Roman" w:hAnsi="Trebuchet MS" w:cs="Arial"/>
          <w:color w:val="0B0C0C"/>
          <w:lang w:eastAsia="en-GB"/>
        </w:rPr>
      </w:pPr>
    </w:p>
    <w:p w14:paraId="721336F0" w14:textId="6506F205" w:rsidR="0014719B" w:rsidRDefault="00856630" w:rsidP="008D3968">
      <w:pPr>
        <w:shd w:val="clear" w:color="auto" w:fill="FFFFFF"/>
        <w:spacing w:after="0" w:line="240" w:lineRule="auto"/>
        <w:textAlignment w:val="baseline"/>
        <w:rPr>
          <w:rFonts w:ascii="Trebuchet MS" w:eastAsia="Times New Roman" w:hAnsi="Trebuchet MS" w:cs="Arial"/>
          <w:color w:val="0B0C0C"/>
          <w:lang w:eastAsia="en-GB"/>
        </w:rPr>
      </w:pPr>
      <w:r>
        <w:rPr>
          <w:rFonts w:ascii="Trebuchet MS" w:eastAsia="Times New Roman" w:hAnsi="Trebuchet MS" w:cs="Arial"/>
          <w:noProof/>
          <w:color w:val="0B0C0C"/>
          <w:lang w:eastAsia="en-GB"/>
        </w:rPr>
        <mc:AlternateContent>
          <mc:Choice Requires="wps">
            <w:drawing>
              <wp:anchor distT="0" distB="0" distL="114300" distR="114300" simplePos="0" relativeHeight="251662336" behindDoc="0" locked="0" layoutInCell="1" allowOverlap="1" wp14:anchorId="5199B382" wp14:editId="3B4BC665">
                <wp:simplePos x="0" y="0"/>
                <wp:positionH relativeFrom="column">
                  <wp:posOffset>781050</wp:posOffset>
                </wp:positionH>
                <wp:positionV relativeFrom="paragraph">
                  <wp:posOffset>137160</wp:posOffset>
                </wp:positionV>
                <wp:extent cx="447675" cy="1381125"/>
                <wp:effectExtent l="38100" t="0" r="28575" b="476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1381125"/>
                        </a:xfrm>
                        <a:prstGeom prst="straightConnector1">
                          <a:avLst/>
                        </a:prstGeom>
                        <a:noFill/>
                        <a:ln w="12700">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7318A" id="AutoShape 6" o:spid="_x0000_s1026" type="#_x0000_t32" style="position:absolute;margin-left:61.5pt;margin-top:10.8pt;width:35.25pt;height:108.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TU4AEAAKYDAAAOAAAAZHJzL2Uyb0RvYy54bWysU01v2zAMvQ/YfxB0X2xnbVMYcXpIl+3Q&#10;bQHa/QBFH7YwWRQoJU7+/Sg1SPaBXYbpIIgi+fj4RC0fjqNjB43Rgu94M6s5016Csr7v+LeXzbt7&#10;zmISXgkHXnf8pCN/WL19s5xCq+cwgFMaGYH42E6h40NKoa2qKAc9ijiDoD05DeAoEpnYVwrFROij&#10;q+Z1fVdNgCogSB0j3T6+Ovmq4BujZfpqTNSJuY4Tt1R2LPsu79VqKdoeRRisPNMQ/8BiFNZT0QvU&#10;o0iC7dH+ATVaiRDBpJmEsQJjrNSlB+qmqX/r5nkQQZdeSJwYLjLF/wcrvxzWfouZujz65/AE8ntk&#10;HtaD8L0uBF5OgR6uyVJVU4jtJSUbMWyR7abPoChG7BMUFY4GR2acDZ9yYganTtmxyH66yK6PiUm6&#10;vLlZ3C1uOZPkat7fN838thQTbcbJ2QFj+qhhZPnQ8ZhQ2H5Ia/CeXhjwtYY4PMWUWV4TcrKHjXWu&#10;PLTzbKIa80VdF1YRnFXZm+Mi9ru1Q3YQNCubTU3rTOOXMIS9VwVt0EJ98IqlIpCn+eYZftSKM6fp&#10;O+RTiUzCumtkQkviur9EE3vnz1JndfMox3YH6rTF3Fy2aBhKm+fBzdP2s12irt9r9QMAAP//AwBQ&#10;SwMEFAAGAAgAAAAhAMGKMUDgAAAACgEAAA8AAABkcnMvZG93bnJldi54bWxMj81OwzAQhO9IvIO1&#10;SNyo8wNVG+JUCJUTQqgptOrNjZckIl5HsZuGt2d7guPMjma/yVeT7cSIg28dKYhnEQikypmWagUf&#10;25e7BQgfNBndOUIFP+hhVVxf5Toz7kwbHMtQCy4hn2kFTQh9JqWvGrTaz1yPxLcvN1gdWA61NIM+&#10;c7ntZBJFc2l1S/yh0T0+N1h9lyerwL+XC/PW9eP2dfe5P5R7s17fG6Vub6anRxABp/AXhgs+o0PB&#10;TEd3IuNFxzpJeUtQkMRzEJfAMn0AcWQjXcYgi1z+n1D8AgAA//8DAFBLAQItABQABgAIAAAAIQC2&#10;gziS/gAAAOEBAAATAAAAAAAAAAAAAAAAAAAAAABbQ29udGVudF9UeXBlc10ueG1sUEsBAi0AFAAG&#10;AAgAAAAhADj9If/WAAAAlAEAAAsAAAAAAAAAAAAAAAAALwEAAF9yZWxzLy5yZWxzUEsBAi0AFAAG&#10;AAgAAAAhAJnOZNTgAQAApgMAAA4AAAAAAAAAAAAAAAAALgIAAGRycy9lMm9Eb2MueG1sUEsBAi0A&#10;FAAGAAgAAAAhAMGKMUDgAAAACgEAAA8AAAAAAAAAAAAAAAAAOgQAAGRycy9kb3ducmV2LnhtbFBL&#10;BQYAAAAABAAEAPMAAABHBQAAAAA=&#10;" strokecolor="red" strokeweight="1pt">
                <v:stroke endarrow="block"/>
              </v:shape>
            </w:pict>
          </mc:Fallback>
        </mc:AlternateContent>
      </w:r>
      <w:r w:rsidR="00AB4123">
        <w:rPr>
          <w:rFonts w:ascii="Trebuchet MS" w:eastAsia="Times New Roman" w:hAnsi="Trebuchet MS" w:cs="Arial"/>
          <w:color w:val="0B0C0C"/>
          <w:lang w:eastAsia="en-GB"/>
        </w:rPr>
        <w:t xml:space="preserve">Please tick </w:t>
      </w:r>
      <w:r w:rsidR="00AB4123" w:rsidRPr="00856630">
        <w:rPr>
          <w:rFonts w:ascii="Trebuchet MS" w:eastAsia="Times New Roman" w:hAnsi="Trebuchet MS" w:cs="Arial"/>
          <w:b/>
          <w:bCs/>
          <w:color w:val="0B0C0C"/>
          <w:lang w:eastAsia="en-GB"/>
        </w:rPr>
        <w:t>‘Replace benchmark set’</w:t>
      </w:r>
      <w:r w:rsidR="00AB4123">
        <w:rPr>
          <w:rFonts w:ascii="Trebuchet MS" w:eastAsia="Times New Roman" w:hAnsi="Trebuchet MS" w:cs="Arial"/>
          <w:color w:val="0B0C0C"/>
          <w:lang w:eastAsia="en-GB"/>
        </w:rPr>
        <w:t xml:space="preserve"> as shown below and then ‘Your charts’ before printing or downloading the charts.</w:t>
      </w:r>
    </w:p>
    <w:p w14:paraId="72B9ADE7" w14:textId="71B8BD29" w:rsidR="00856630" w:rsidRDefault="00856630" w:rsidP="008D3968">
      <w:pPr>
        <w:shd w:val="clear" w:color="auto" w:fill="FFFFFF"/>
        <w:spacing w:after="0" w:line="240" w:lineRule="auto"/>
        <w:textAlignment w:val="baseline"/>
        <w:rPr>
          <w:rFonts w:ascii="Trebuchet MS" w:eastAsia="Times New Roman" w:hAnsi="Trebuchet MS" w:cs="Arial"/>
          <w:color w:val="0B0C0C"/>
          <w:lang w:eastAsia="en-GB"/>
        </w:rPr>
      </w:pPr>
    </w:p>
    <w:p w14:paraId="21AD4C62" w14:textId="13BB8D1A" w:rsidR="0061103A" w:rsidRDefault="008B06EA" w:rsidP="008D3968">
      <w:pPr>
        <w:shd w:val="clear" w:color="auto" w:fill="FFFFFF"/>
        <w:spacing w:after="0" w:line="240" w:lineRule="auto"/>
        <w:textAlignment w:val="baseline"/>
        <w:rPr>
          <w:rFonts w:ascii="Trebuchet MS" w:eastAsia="Times New Roman" w:hAnsi="Trebuchet MS" w:cs="Arial"/>
          <w:color w:val="0B0C0C"/>
          <w:lang w:eastAsia="en-GB"/>
        </w:rPr>
      </w:pPr>
      <w:r>
        <w:rPr>
          <w:noProof/>
        </w:rPr>
        <w:drawing>
          <wp:inline distT="0" distB="0" distL="0" distR="0" wp14:anchorId="1BE0C355" wp14:editId="561B3715">
            <wp:extent cx="4874260" cy="2740624"/>
            <wp:effectExtent l="0" t="0" r="2540" b="3175"/>
            <wp:docPr id="614413516"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13516" name="Picture 1" descr="Graphical user interface, text, application, email&#10;&#10;Description automatically generated"/>
                    <pic:cNvPicPr/>
                  </pic:nvPicPr>
                  <pic:blipFill>
                    <a:blip r:embed="rId17"/>
                    <a:stretch>
                      <a:fillRect/>
                    </a:stretch>
                  </pic:blipFill>
                  <pic:spPr>
                    <a:xfrm>
                      <a:off x="0" y="0"/>
                      <a:ext cx="4879935" cy="2743815"/>
                    </a:xfrm>
                    <a:prstGeom prst="rect">
                      <a:avLst/>
                    </a:prstGeom>
                  </pic:spPr>
                </pic:pic>
              </a:graphicData>
            </a:graphic>
          </wp:inline>
        </w:drawing>
      </w:r>
    </w:p>
    <w:p w14:paraId="4661DB47" w14:textId="77777777" w:rsidR="0061103A" w:rsidRDefault="0061103A">
      <w:pPr>
        <w:rPr>
          <w:rFonts w:ascii="Trebuchet MS" w:eastAsia="Times New Roman" w:hAnsi="Trebuchet MS" w:cs="Arial"/>
          <w:b/>
          <w:bCs/>
          <w:color w:val="0B0C0C"/>
          <w:lang w:eastAsia="en-GB"/>
        </w:rPr>
      </w:pPr>
      <w:r>
        <w:rPr>
          <w:rFonts w:ascii="Trebuchet MS" w:eastAsia="Times New Roman" w:hAnsi="Trebuchet MS" w:cs="Arial"/>
          <w:b/>
          <w:bCs/>
          <w:color w:val="0B0C0C"/>
          <w:lang w:eastAsia="en-GB"/>
        </w:rPr>
        <w:br w:type="page"/>
      </w:r>
    </w:p>
    <w:p w14:paraId="7B7AE3ED" w14:textId="155A5B00" w:rsidR="0061103A" w:rsidRDefault="0061103A" w:rsidP="0061103A">
      <w:pPr>
        <w:shd w:val="clear" w:color="auto" w:fill="FFFFFF"/>
        <w:spacing w:before="300" w:after="300" w:line="240" w:lineRule="auto"/>
        <w:jc w:val="right"/>
        <w:textAlignment w:val="baseline"/>
        <w:rPr>
          <w:rFonts w:ascii="Trebuchet MS" w:eastAsia="Times New Roman" w:hAnsi="Trebuchet MS" w:cs="Arial"/>
          <w:b/>
          <w:bCs/>
          <w:color w:val="0B0C0C"/>
          <w:lang w:eastAsia="en-GB"/>
        </w:rPr>
      </w:pPr>
      <w:r>
        <w:rPr>
          <w:rFonts w:ascii="Trebuchet MS" w:eastAsia="Times New Roman" w:hAnsi="Trebuchet MS" w:cs="Arial"/>
          <w:b/>
          <w:bCs/>
          <w:color w:val="0B0C0C"/>
          <w:lang w:eastAsia="en-GB"/>
        </w:rPr>
        <w:lastRenderedPageBreak/>
        <w:t>Appendix 1</w:t>
      </w:r>
    </w:p>
    <w:p w14:paraId="2E7BB1DF" w14:textId="4C97ED64" w:rsidR="009B0007" w:rsidRPr="009B0007" w:rsidRDefault="009B0007" w:rsidP="008D3968">
      <w:pPr>
        <w:shd w:val="clear" w:color="auto" w:fill="FFFFFF"/>
        <w:spacing w:before="300" w:after="300" w:line="240" w:lineRule="auto"/>
        <w:textAlignment w:val="baseline"/>
        <w:rPr>
          <w:rFonts w:ascii="Trebuchet MS" w:eastAsia="Times New Roman" w:hAnsi="Trebuchet MS" w:cs="Arial"/>
          <w:b/>
          <w:bCs/>
          <w:color w:val="0B0C0C"/>
          <w:lang w:eastAsia="en-GB"/>
        </w:rPr>
      </w:pPr>
      <w:r w:rsidRPr="009B0007">
        <w:rPr>
          <w:rFonts w:ascii="Trebuchet MS" w:eastAsia="Times New Roman" w:hAnsi="Trebuchet MS" w:cs="Arial"/>
          <w:b/>
          <w:bCs/>
          <w:color w:val="0B0C0C"/>
          <w:lang w:eastAsia="en-GB"/>
        </w:rPr>
        <w:t>Information to help schools interpret the dashboard</w:t>
      </w:r>
    </w:p>
    <w:p w14:paraId="4F3F66B8" w14:textId="7951CBA3" w:rsidR="00EF5C4C" w:rsidRDefault="009B0007" w:rsidP="008D3968">
      <w:pPr>
        <w:shd w:val="clear" w:color="auto" w:fill="FFFFFF"/>
        <w:spacing w:before="300" w:after="300" w:line="240" w:lineRule="auto"/>
        <w:textAlignment w:val="baseline"/>
        <w:rPr>
          <w:rFonts w:ascii="Trebuchet MS" w:eastAsia="Times New Roman" w:hAnsi="Trebuchet MS" w:cs="Arial"/>
          <w:color w:val="0B0C0C"/>
          <w:lang w:eastAsia="en-GB"/>
        </w:rPr>
      </w:pPr>
      <w:r>
        <w:rPr>
          <w:rFonts w:ascii="Trebuchet MS" w:eastAsia="Times New Roman" w:hAnsi="Trebuchet MS" w:cs="Arial"/>
          <w:color w:val="0B0C0C"/>
          <w:lang w:eastAsia="en-GB"/>
        </w:rPr>
        <w:t>The</w:t>
      </w:r>
      <w:r w:rsidR="00C437C3">
        <w:rPr>
          <w:rFonts w:ascii="Trebuchet MS" w:eastAsia="Times New Roman" w:hAnsi="Trebuchet MS" w:cs="Arial"/>
          <w:color w:val="0B0C0C"/>
          <w:lang w:eastAsia="en-GB"/>
        </w:rPr>
        <w:t xml:space="preserve"> </w:t>
      </w:r>
      <w:r w:rsidR="002F3331">
        <w:rPr>
          <w:rFonts w:ascii="Trebuchet MS" w:eastAsia="Times New Roman" w:hAnsi="Trebuchet MS" w:cs="Arial"/>
          <w:color w:val="0B0C0C"/>
          <w:lang w:eastAsia="en-GB"/>
        </w:rPr>
        <w:t>table below shows schools which nominal codes have been included und</w:t>
      </w:r>
      <w:r w:rsidR="00EF5C4C">
        <w:rPr>
          <w:rFonts w:ascii="Trebuchet MS" w:eastAsia="Times New Roman" w:hAnsi="Trebuchet MS" w:cs="Arial"/>
          <w:color w:val="0B0C0C"/>
          <w:lang w:eastAsia="en-GB"/>
        </w:rPr>
        <w:t>er each of the headings</w:t>
      </w:r>
      <w:r>
        <w:rPr>
          <w:rFonts w:ascii="Trebuchet MS" w:eastAsia="Times New Roman" w:hAnsi="Trebuchet MS" w:cs="Arial"/>
          <w:color w:val="0B0C0C"/>
          <w:lang w:eastAsia="en-GB"/>
        </w:rPr>
        <w:t xml:space="preserve"> for the </w:t>
      </w:r>
      <w:r w:rsidR="00AB4123">
        <w:rPr>
          <w:rFonts w:ascii="Trebuchet MS" w:eastAsia="Times New Roman" w:hAnsi="Trebuchet MS" w:cs="Arial"/>
          <w:color w:val="0B0C0C"/>
          <w:lang w:eastAsia="en-GB"/>
        </w:rPr>
        <w:t>2022-23</w:t>
      </w:r>
      <w:r>
        <w:rPr>
          <w:rFonts w:ascii="Trebuchet MS" w:eastAsia="Times New Roman" w:hAnsi="Trebuchet MS" w:cs="Arial"/>
          <w:color w:val="0B0C0C"/>
          <w:lang w:eastAsia="en-GB"/>
        </w:rPr>
        <w:t xml:space="preserve"> da</w:t>
      </w:r>
      <w:r w:rsidR="00D128DE">
        <w:rPr>
          <w:rFonts w:ascii="Trebuchet MS" w:eastAsia="Times New Roman" w:hAnsi="Trebuchet MS" w:cs="Arial"/>
          <w:color w:val="0B0C0C"/>
          <w:lang w:eastAsia="en-GB"/>
        </w:rPr>
        <w:t>ta</w:t>
      </w:r>
      <w:r w:rsidR="00EF5C4C">
        <w:rPr>
          <w:rFonts w:ascii="Trebuchet MS" w:eastAsia="Times New Roman" w:hAnsi="Trebuchet MS" w:cs="Arial"/>
          <w:color w:val="0B0C0C"/>
          <w:lang w:eastAsia="en-GB"/>
        </w:rPr>
        <w:t>.</w:t>
      </w:r>
    </w:p>
    <w:tbl>
      <w:tblPr>
        <w:tblW w:w="9200" w:type="dxa"/>
        <w:tblLook w:val="04A0" w:firstRow="1" w:lastRow="0" w:firstColumn="1" w:lastColumn="0" w:noHBand="0" w:noVBand="1"/>
      </w:tblPr>
      <w:tblGrid>
        <w:gridCol w:w="2840"/>
        <w:gridCol w:w="1300"/>
        <w:gridCol w:w="880"/>
        <w:gridCol w:w="4180"/>
      </w:tblGrid>
      <w:tr w:rsidR="00414A95" w:rsidRPr="00414A95" w14:paraId="14772E0B" w14:textId="77777777" w:rsidTr="00414A95">
        <w:trPr>
          <w:trHeight w:val="510"/>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DC03B" w14:textId="77777777" w:rsidR="00414A95" w:rsidRPr="00414A95" w:rsidRDefault="00414A95" w:rsidP="00414A95">
            <w:pPr>
              <w:spacing w:after="0" w:line="240" w:lineRule="auto"/>
              <w:rPr>
                <w:rFonts w:ascii="Calibri" w:eastAsia="Times New Roman" w:hAnsi="Calibri" w:cs="Calibri"/>
                <w:b/>
                <w:bCs/>
                <w:color w:val="000000"/>
                <w:sz w:val="20"/>
                <w:szCs w:val="20"/>
                <w:lang w:eastAsia="en-GB"/>
              </w:rPr>
            </w:pPr>
            <w:r w:rsidRPr="00414A95">
              <w:rPr>
                <w:rFonts w:ascii="Calibri" w:eastAsia="Times New Roman" w:hAnsi="Calibri" w:cs="Calibri"/>
                <w:b/>
                <w:bCs/>
                <w:color w:val="000000"/>
                <w:sz w:val="20"/>
                <w:szCs w:val="20"/>
                <w:lang w:eastAsia="en-GB"/>
              </w:rPr>
              <w:t xml:space="preserve">School Resource Management Dashboard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064582C" w14:textId="77777777" w:rsidR="00414A95" w:rsidRPr="00414A95" w:rsidRDefault="00414A95" w:rsidP="00414A95">
            <w:pPr>
              <w:spacing w:after="0" w:line="240" w:lineRule="auto"/>
              <w:rPr>
                <w:rFonts w:ascii="Calibri" w:eastAsia="Times New Roman" w:hAnsi="Calibri" w:cs="Calibri"/>
                <w:b/>
                <w:bCs/>
                <w:color w:val="000000"/>
                <w:sz w:val="20"/>
                <w:szCs w:val="20"/>
                <w:lang w:eastAsia="en-GB"/>
              </w:rPr>
            </w:pPr>
            <w:r w:rsidRPr="00414A95">
              <w:rPr>
                <w:rFonts w:ascii="Calibri" w:eastAsia="Times New Roman" w:hAnsi="Calibri" w:cs="Calibri"/>
                <w:b/>
                <w:bCs/>
                <w:color w:val="000000"/>
                <w:sz w:val="20"/>
                <w:szCs w:val="20"/>
                <w:lang w:eastAsia="en-GB"/>
              </w:rPr>
              <w:t>CFR code -raw data</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1497676E" w14:textId="77777777" w:rsidR="00414A95" w:rsidRPr="00414A95" w:rsidRDefault="00414A95" w:rsidP="00414A95">
            <w:pPr>
              <w:spacing w:after="0" w:line="240" w:lineRule="auto"/>
              <w:rPr>
                <w:rFonts w:ascii="Calibri" w:eastAsia="Times New Roman" w:hAnsi="Calibri" w:cs="Calibri"/>
                <w:b/>
                <w:bCs/>
                <w:color w:val="000000"/>
                <w:sz w:val="20"/>
                <w:szCs w:val="20"/>
                <w:lang w:eastAsia="en-GB"/>
              </w:rPr>
            </w:pPr>
            <w:r w:rsidRPr="00414A95">
              <w:rPr>
                <w:rFonts w:ascii="Calibri" w:eastAsia="Times New Roman" w:hAnsi="Calibri" w:cs="Calibri"/>
                <w:b/>
                <w:bCs/>
                <w:color w:val="000000"/>
                <w:sz w:val="20"/>
                <w:szCs w:val="20"/>
                <w:lang w:eastAsia="en-GB"/>
              </w:rPr>
              <w:t>Orovia code</w:t>
            </w:r>
          </w:p>
        </w:tc>
        <w:tc>
          <w:tcPr>
            <w:tcW w:w="4180" w:type="dxa"/>
            <w:tcBorders>
              <w:top w:val="single" w:sz="4" w:space="0" w:color="auto"/>
              <w:left w:val="nil"/>
              <w:bottom w:val="single" w:sz="4" w:space="0" w:color="auto"/>
              <w:right w:val="single" w:sz="4" w:space="0" w:color="auto"/>
            </w:tcBorders>
            <w:shd w:val="clear" w:color="auto" w:fill="auto"/>
            <w:hideMark/>
          </w:tcPr>
          <w:p w14:paraId="0F679977" w14:textId="77777777" w:rsidR="00414A95" w:rsidRPr="00414A95" w:rsidRDefault="00414A95" w:rsidP="00414A95">
            <w:pPr>
              <w:spacing w:after="0" w:line="240" w:lineRule="auto"/>
              <w:rPr>
                <w:rFonts w:ascii="Calibri" w:eastAsia="Times New Roman" w:hAnsi="Calibri" w:cs="Calibri"/>
                <w:b/>
                <w:bCs/>
                <w:color w:val="000000"/>
                <w:sz w:val="20"/>
                <w:szCs w:val="20"/>
                <w:lang w:eastAsia="en-GB"/>
              </w:rPr>
            </w:pPr>
            <w:r w:rsidRPr="00414A95">
              <w:rPr>
                <w:rFonts w:ascii="Calibri" w:eastAsia="Times New Roman" w:hAnsi="Calibri" w:cs="Calibri"/>
                <w:b/>
                <w:bCs/>
                <w:color w:val="000000"/>
                <w:sz w:val="20"/>
                <w:szCs w:val="20"/>
                <w:lang w:eastAsia="en-GB"/>
              </w:rPr>
              <w:t>Nominal codes</w:t>
            </w:r>
          </w:p>
        </w:tc>
      </w:tr>
      <w:tr w:rsidR="00414A95" w:rsidRPr="00414A95" w14:paraId="16941AEB" w14:textId="77777777" w:rsidTr="00414A95">
        <w:trPr>
          <w:trHeight w:val="255"/>
        </w:trPr>
        <w:tc>
          <w:tcPr>
            <w:tcW w:w="2840" w:type="dxa"/>
            <w:vMerge w:val="restart"/>
            <w:tcBorders>
              <w:top w:val="nil"/>
              <w:left w:val="single" w:sz="4" w:space="0" w:color="auto"/>
              <w:bottom w:val="single" w:sz="4" w:space="0" w:color="000000"/>
              <w:right w:val="single" w:sz="4" w:space="0" w:color="auto"/>
            </w:tcBorders>
            <w:shd w:val="clear" w:color="auto" w:fill="auto"/>
            <w:hideMark/>
          </w:tcPr>
          <w:p w14:paraId="3B2E1E3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Spend on teaching staff as a percentage of total expenditure</w:t>
            </w:r>
          </w:p>
        </w:tc>
        <w:tc>
          <w:tcPr>
            <w:tcW w:w="1300" w:type="dxa"/>
            <w:vMerge w:val="restart"/>
            <w:tcBorders>
              <w:top w:val="nil"/>
              <w:left w:val="single" w:sz="4" w:space="0" w:color="auto"/>
              <w:bottom w:val="single" w:sz="4" w:space="0" w:color="000000"/>
              <w:right w:val="single" w:sz="4" w:space="0" w:color="auto"/>
            </w:tcBorders>
            <w:shd w:val="clear" w:color="auto" w:fill="auto"/>
            <w:hideMark/>
          </w:tcPr>
          <w:p w14:paraId="734AAD2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w:t>
            </w: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12E1845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w:t>
            </w:r>
          </w:p>
        </w:tc>
        <w:tc>
          <w:tcPr>
            <w:tcW w:w="4180" w:type="dxa"/>
            <w:tcBorders>
              <w:top w:val="nil"/>
              <w:left w:val="nil"/>
              <w:bottom w:val="single" w:sz="4" w:space="0" w:color="auto"/>
              <w:right w:val="single" w:sz="4" w:space="0" w:color="auto"/>
            </w:tcBorders>
            <w:shd w:val="clear" w:color="auto" w:fill="auto"/>
            <w:noWrap/>
            <w:vAlign w:val="center"/>
            <w:hideMark/>
          </w:tcPr>
          <w:p w14:paraId="709EC90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2000 - Teachers - Salaries/Allowances</w:t>
            </w:r>
          </w:p>
        </w:tc>
      </w:tr>
      <w:tr w:rsidR="00414A95" w:rsidRPr="00414A95" w14:paraId="3E4E4376"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AD9748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35819A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5DC5DB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20393E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2005 - Teachers - N.I.</w:t>
            </w:r>
          </w:p>
        </w:tc>
      </w:tr>
      <w:tr w:rsidR="00414A95" w:rsidRPr="00414A95" w14:paraId="7DC4E8DC"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B7EDC5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CD79A3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664535E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831E90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2010 - Teachers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171566DE"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62638C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35D2A0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2822DC9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C75323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2015 - Teachers - Maternity</w:t>
            </w:r>
          </w:p>
        </w:tc>
      </w:tr>
      <w:tr w:rsidR="00414A95" w:rsidRPr="00414A95" w14:paraId="3C774382"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B180D2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4BDFF2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17F1DDB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4D3CD4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2016 - Teachers - Sickness Premium</w:t>
            </w:r>
          </w:p>
        </w:tc>
      </w:tr>
      <w:tr w:rsidR="00414A95" w:rsidRPr="00414A95" w14:paraId="229166FE" w14:textId="77777777" w:rsidTr="00414A95">
        <w:trPr>
          <w:trHeight w:val="255"/>
        </w:trPr>
        <w:tc>
          <w:tcPr>
            <w:tcW w:w="2840" w:type="dxa"/>
            <w:vMerge w:val="restart"/>
            <w:tcBorders>
              <w:top w:val="nil"/>
              <w:left w:val="single" w:sz="4" w:space="0" w:color="auto"/>
              <w:bottom w:val="single" w:sz="4" w:space="0" w:color="000000"/>
              <w:right w:val="single" w:sz="4" w:space="0" w:color="auto"/>
            </w:tcBorders>
            <w:shd w:val="clear" w:color="auto" w:fill="auto"/>
            <w:hideMark/>
          </w:tcPr>
          <w:p w14:paraId="4665B1D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Spend on supply staff as a percentage of total expenditure</w:t>
            </w:r>
          </w:p>
        </w:tc>
        <w:tc>
          <w:tcPr>
            <w:tcW w:w="1300" w:type="dxa"/>
            <w:vMerge w:val="restart"/>
            <w:tcBorders>
              <w:top w:val="nil"/>
              <w:left w:val="single" w:sz="4" w:space="0" w:color="auto"/>
              <w:bottom w:val="single" w:sz="4" w:space="0" w:color="000000"/>
              <w:right w:val="single" w:sz="4" w:space="0" w:color="auto"/>
            </w:tcBorders>
            <w:shd w:val="clear" w:color="auto" w:fill="auto"/>
            <w:hideMark/>
          </w:tcPr>
          <w:p w14:paraId="46642FE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 E10 &amp; E26</w:t>
            </w: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0C8E0CC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E10</w:t>
            </w:r>
          </w:p>
        </w:tc>
        <w:tc>
          <w:tcPr>
            <w:tcW w:w="4180" w:type="dxa"/>
            <w:tcBorders>
              <w:top w:val="nil"/>
              <w:left w:val="nil"/>
              <w:bottom w:val="single" w:sz="4" w:space="0" w:color="auto"/>
              <w:right w:val="single" w:sz="4" w:space="0" w:color="auto"/>
            </w:tcBorders>
            <w:shd w:val="clear" w:color="auto" w:fill="auto"/>
            <w:noWrap/>
            <w:vAlign w:val="center"/>
            <w:hideMark/>
          </w:tcPr>
          <w:p w14:paraId="408DFF8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2100 - Supply - Salaries</w:t>
            </w:r>
          </w:p>
        </w:tc>
      </w:tr>
      <w:tr w:rsidR="00414A95" w:rsidRPr="00414A95" w14:paraId="6F84F19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3F28DC8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DA171C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55978CE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204718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2105 - Supply - NI</w:t>
            </w:r>
          </w:p>
        </w:tc>
      </w:tr>
      <w:tr w:rsidR="00414A95" w:rsidRPr="00414A95" w14:paraId="0712645F"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A34C64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5A79A6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79DAA6D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43EC4D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2110 - Supply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234E8A23"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7A1321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E0B117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tcBorders>
              <w:top w:val="nil"/>
              <w:left w:val="nil"/>
              <w:bottom w:val="single" w:sz="4" w:space="0" w:color="auto"/>
              <w:right w:val="single" w:sz="4" w:space="0" w:color="auto"/>
            </w:tcBorders>
            <w:shd w:val="clear" w:color="auto" w:fill="auto"/>
            <w:noWrap/>
            <w:vAlign w:val="bottom"/>
            <w:hideMark/>
          </w:tcPr>
          <w:p w14:paraId="79AADBA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E26</w:t>
            </w:r>
          </w:p>
        </w:tc>
        <w:tc>
          <w:tcPr>
            <w:tcW w:w="4180" w:type="dxa"/>
            <w:tcBorders>
              <w:top w:val="nil"/>
              <w:left w:val="nil"/>
              <w:bottom w:val="single" w:sz="4" w:space="0" w:color="auto"/>
              <w:right w:val="single" w:sz="4" w:space="0" w:color="auto"/>
            </w:tcBorders>
            <w:shd w:val="clear" w:color="auto" w:fill="auto"/>
            <w:noWrap/>
            <w:vAlign w:val="center"/>
            <w:hideMark/>
          </w:tcPr>
          <w:p w14:paraId="2AB9571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2800 - Agency Supply Cover - Teaching</w:t>
            </w:r>
          </w:p>
        </w:tc>
      </w:tr>
      <w:tr w:rsidR="00414A95" w:rsidRPr="00414A95" w14:paraId="150C1C7F" w14:textId="77777777" w:rsidTr="00414A95">
        <w:trPr>
          <w:trHeight w:val="300"/>
        </w:trPr>
        <w:tc>
          <w:tcPr>
            <w:tcW w:w="2840" w:type="dxa"/>
            <w:vMerge w:val="restart"/>
            <w:tcBorders>
              <w:top w:val="nil"/>
              <w:left w:val="single" w:sz="4" w:space="0" w:color="auto"/>
              <w:bottom w:val="single" w:sz="4" w:space="0" w:color="000000"/>
              <w:right w:val="single" w:sz="4" w:space="0" w:color="auto"/>
            </w:tcBorders>
            <w:shd w:val="clear" w:color="auto" w:fill="auto"/>
            <w:hideMark/>
          </w:tcPr>
          <w:p w14:paraId="17161B7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Spend on education support staff as a percentage of total expenditure</w:t>
            </w:r>
          </w:p>
        </w:tc>
        <w:tc>
          <w:tcPr>
            <w:tcW w:w="1300" w:type="dxa"/>
            <w:vMerge w:val="restart"/>
            <w:tcBorders>
              <w:top w:val="nil"/>
              <w:left w:val="single" w:sz="4" w:space="0" w:color="auto"/>
              <w:bottom w:val="single" w:sz="4" w:space="0" w:color="000000"/>
              <w:right w:val="single" w:sz="4" w:space="0" w:color="auto"/>
            </w:tcBorders>
            <w:shd w:val="clear" w:color="auto" w:fill="auto"/>
            <w:hideMark/>
          </w:tcPr>
          <w:p w14:paraId="462840E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E3</w:t>
            </w: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114FB3B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E3</w:t>
            </w:r>
          </w:p>
        </w:tc>
        <w:tc>
          <w:tcPr>
            <w:tcW w:w="4180" w:type="dxa"/>
            <w:tcBorders>
              <w:top w:val="nil"/>
              <w:left w:val="nil"/>
              <w:bottom w:val="single" w:sz="4" w:space="0" w:color="auto"/>
              <w:right w:val="single" w:sz="4" w:space="0" w:color="auto"/>
            </w:tcBorders>
            <w:shd w:val="clear" w:color="auto" w:fill="auto"/>
            <w:noWrap/>
            <w:vAlign w:val="center"/>
            <w:hideMark/>
          </w:tcPr>
          <w:p w14:paraId="39AF4C3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2200 - Learning Support Assistants - Salaries</w:t>
            </w:r>
          </w:p>
        </w:tc>
      </w:tr>
      <w:tr w:rsidR="00414A95" w:rsidRPr="00414A95" w14:paraId="1206C2B8"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CADFC4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9B4A00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716B79F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4332E1A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2205 - Learning Support Assistants - NI</w:t>
            </w:r>
          </w:p>
        </w:tc>
      </w:tr>
      <w:tr w:rsidR="00414A95" w:rsidRPr="00414A95" w14:paraId="6805179F"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868CF8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7EE613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6F140F0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F92A65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2210 - Learning Support Assistants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1CCD2B80"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66826E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4A8196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FE21B9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04A488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2215 - Learning Support Assistants - Overtime</w:t>
            </w:r>
          </w:p>
        </w:tc>
      </w:tr>
      <w:tr w:rsidR="00414A95" w:rsidRPr="00414A95" w14:paraId="6702A7EF"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60A99C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FBA3DA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6DD4CF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2DEC39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2250 - Foreign Language Assistants - Salaries</w:t>
            </w:r>
          </w:p>
        </w:tc>
      </w:tr>
      <w:tr w:rsidR="00414A95" w:rsidRPr="00414A95" w14:paraId="1511A2A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BF176A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960F38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76B516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B1E50E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2255 - Foreign Language Assistants - NI</w:t>
            </w:r>
          </w:p>
        </w:tc>
      </w:tr>
      <w:tr w:rsidR="00414A95" w:rsidRPr="00414A95" w14:paraId="2D86E3B6"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098BAA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E3C788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50E9665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5078BB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2260 - Foreign Language Assistants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1DECEAA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ADA91D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E1A8F7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7BFED3A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A0B489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2265 - Foreign Language Assistants - Overtime</w:t>
            </w:r>
          </w:p>
        </w:tc>
      </w:tr>
      <w:tr w:rsidR="00414A95" w:rsidRPr="00414A95" w14:paraId="2603E938"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4F1DC4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D9BAB8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810A5A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1AEB28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2280 - Technicians - Salaries</w:t>
            </w:r>
          </w:p>
        </w:tc>
      </w:tr>
      <w:tr w:rsidR="00414A95" w:rsidRPr="00414A95" w14:paraId="1B19E683"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F16CCB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8B8118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88600F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7DF42F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2285 - Technicians - NI</w:t>
            </w:r>
          </w:p>
        </w:tc>
      </w:tr>
      <w:tr w:rsidR="00414A95" w:rsidRPr="00414A95" w14:paraId="6D57CCDB"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BACFA1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6024D2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61565EA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497A212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2290 - Technicians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23B8D222" w14:textId="77777777" w:rsidTr="00414A95">
        <w:trPr>
          <w:trHeight w:val="300"/>
        </w:trPr>
        <w:tc>
          <w:tcPr>
            <w:tcW w:w="2840" w:type="dxa"/>
            <w:vMerge w:val="restart"/>
            <w:tcBorders>
              <w:top w:val="nil"/>
              <w:left w:val="single" w:sz="4" w:space="0" w:color="auto"/>
              <w:bottom w:val="nil"/>
              <w:right w:val="single" w:sz="4" w:space="0" w:color="auto"/>
            </w:tcBorders>
            <w:shd w:val="clear" w:color="auto" w:fill="auto"/>
            <w:hideMark/>
          </w:tcPr>
          <w:p w14:paraId="5C5AE40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Spend on administrative and clerical staff as a percentage of total expenditure</w:t>
            </w:r>
          </w:p>
        </w:tc>
        <w:tc>
          <w:tcPr>
            <w:tcW w:w="1300" w:type="dxa"/>
            <w:vMerge w:val="restart"/>
            <w:tcBorders>
              <w:top w:val="nil"/>
              <w:left w:val="single" w:sz="4" w:space="0" w:color="auto"/>
              <w:bottom w:val="single" w:sz="4" w:space="0" w:color="auto"/>
              <w:right w:val="single" w:sz="4" w:space="0" w:color="auto"/>
            </w:tcBorders>
            <w:shd w:val="clear" w:color="auto" w:fill="auto"/>
            <w:hideMark/>
          </w:tcPr>
          <w:p w14:paraId="25EA746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E4</w:t>
            </w:r>
          </w:p>
        </w:tc>
        <w:tc>
          <w:tcPr>
            <w:tcW w:w="880" w:type="dxa"/>
            <w:vMerge w:val="restart"/>
            <w:tcBorders>
              <w:top w:val="nil"/>
              <w:left w:val="single" w:sz="4" w:space="0" w:color="auto"/>
              <w:bottom w:val="single" w:sz="4" w:space="0" w:color="auto"/>
              <w:right w:val="single" w:sz="4" w:space="0" w:color="auto"/>
            </w:tcBorders>
            <w:shd w:val="clear" w:color="auto" w:fill="auto"/>
            <w:noWrap/>
            <w:hideMark/>
          </w:tcPr>
          <w:p w14:paraId="2E804C11" w14:textId="77777777" w:rsidR="00414A95" w:rsidRPr="00414A95" w:rsidRDefault="00414A95" w:rsidP="00414A95">
            <w:pPr>
              <w:spacing w:after="0" w:line="240" w:lineRule="auto"/>
              <w:jc w:val="center"/>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E5</w:t>
            </w:r>
          </w:p>
        </w:tc>
        <w:tc>
          <w:tcPr>
            <w:tcW w:w="4180" w:type="dxa"/>
            <w:tcBorders>
              <w:top w:val="nil"/>
              <w:left w:val="nil"/>
              <w:bottom w:val="single" w:sz="4" w:space="0" w:color="auto"/>
              <w:right w:val="single" w:sz="4" w:space="0" w:color="auto"/>
            </w:tcBorders>
            <w:shd w:val="clear" w:color="auto" w:fill="auto"/>
            <w:noWrap/>
            <w:vAlign w:val="center"/>
            <w:hideMark/>
          </w:tcPr>
          <w:p w14:paraId="0AF2E7F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2515 - Invigilators - Overtime</w:t>
            </w:r>
          </w:p>
        </w:tc>
      </w:tr>
      <w:tr w:rsidR="00414A95" w:rsidRPr="00414A95" w14:paraId="1B10450A"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0462241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440E5F1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7663CB8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D84CF4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2600 - Exam Staff - Salaries</w:t>
            </w:r>
          </w:p>
        </w:tc>
      </w:tr>
      <w:tr w:rsidR="00414A95" w:rsidRPr="00414A95" w14:paraId="46A3FCB4"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5A35424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483DBAF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0339C57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A59EB4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2605 - Exam Staff - NI</w:t>
            </w:r>
          </w:p>
        </w:tc>
      </w:tr>
      <w:tr w:rsidR="00414A95" w:rsidRPr="00414A95" w14:paraId="2F0F312B"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1C22642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6E69E39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6F4C2DF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88CDD3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2610 - Exam </w:t>
            </w:r>
            <w:proofErr w:type="gramStart"/>
            <w:r w:rsidRPr="00414A95">
              <w:rPr>
                <w:rFonts w:ascii="Calibri" w:eastAsia="Times New Roman" w:hAnsi="Calibri" w:cs="Calibri"/>
                <w:color w:val="000000"/>
                <w:sz w:val="20"/>
                <w:szCs w:val="20"/>
                <w:lang w:eastAsia="en-GB"/>
              </w:rPr>
              <w:t>Staff  -</w:t>
            </w:r>
            <w:proofErr w:type="gramEnd"/>
            <w:r w:rsidRPr="00414A95">
              <w:rPr>
                <w:rFonts w:ascii="Calibri" w:eastAsia="Times New Roman" w:hAnsi="Calibri" w:cs="Calibri"/>
                <w:color w:val="000000"/>
                <w:sz w:val="20"/>
                <w:szCs w:val="20"/>
                <w:lang w:eastAsia="en-GB"/>
              </w:rPr>
              <w:t xml:space="preserve">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6AA717D0"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74DDFC3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0321894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389CEED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782A95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2615 - Exam </w:t>
            </w:r>
            <w:proofErr w:type="gramStart"/>
            <w:r w:rsidRPr="00414A95">
              <w:rPr>
                <w:rFonts w:ascii="Calibri" w:eastAsia="Times New Roman" w:hAnsi="Calibri" w:cs="Calibri"/>
                <w:color w:val="000000"/>
                <w:sz w:val="20"/>
                <w:szCs w:val="20"/>
                <w:lang w:eastAsia="en-GB"/>
              </w:rPr>
              <w:t>Staff  -</w:t>
            </w:r>
            <w:proofErr w:type="gramEnd"/>
            <w:r w:rsidRPr="00414A95">
              <w:rPr>
                <w:rFonts w:ascii="Calibri" w:eastAsia="Times New Roman" w:hAnsi="Calibri" w:cs="Calibri"/>
                <w:color w:val="000000"/>
                <w:sz w:val="20"/>
                <w:szCs w:val="20"/>
                <w:lang w:eastAsia="en-GB"/>
              </w:rPr>
              <w:t xml:space="preserve"> Overtime</w:t>
            </w:r>
          </w:p>
        </w:tc>
      </w:tr>
      <w:tr w:rsidR="00414A95" w:rsidRPr="00414A95" w14:paraId="24EBCF01"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2749832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4A39E51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2A16360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122F3B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2630 - Finance &amp; Admin - Salaries</w:t>
            </w:r>
          </w:p>
        </w:tc>
      </w:tr>
      <w:tr w:rsidR="00414A95" w:rsidRPr="00414A95" w14:paraId="4D3F2BA2"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05711CF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5F7069F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769E4B2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1B6CF6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2635 - Finance &amp; Admin - NI</w:t>
            </w:r>
          </w:p>
        </w:tc>
      </w:tr>
      <w:tr w:rsidR="00414A95" w:rsidRPr="00414A95" w14:paraId="696D3EC6"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0B79CCC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5AB2C45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17231EB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95E158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2640 - Finance &amp; Admin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0000AD2C"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1F0E247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7C9AEB8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5E4BBB7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A63C17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2645 - Finance &amp; Admin - Overtime</w:t>
            </w:r>
          </w:p>
        </w:tc>
      </w:tr>
      <w:tr w:rsidR="00414A95" w:rsidRPr="00414A95" w14:paraId="58347CF0"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35002F6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632741A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740EBD5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482C7B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2650 - Librarian - Salaries</w:t>
            </w:r>
          </w:p>
        </w:tc>
      </w:tr>
      <w:tr w:rsidR="00414A95" w:rsidRPr="00414A95" w14:paraId="2F014A85"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70A9EBB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41C48DD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2C83551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45642C3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2655 - Librarian - NI</w:t>
            </w:r>
          </w:p>
        </w:tc>
      </w:tr>
      <w:tr w:rsidR="00414A95" w:rsidRPr="00414A95" w14:paraId="6A40501E"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5F94928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61C71AF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2E6162B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9151E8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2660 - Librarian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55009074"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404E888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1FD7B58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315AB3E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FB4C54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2720 - Cover Assistants - Salaries</w:t>
            </w:r>
          </w:p>
        </w:tc>
      </w:tr>
      <w:tr w:rsidR="00414A95" w:rsidRPr="00414A95" w14:paraId="302231E8"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11B2886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0926F41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366DE93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19805C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2725 - Cover Assistants - NI</w:t>
            </w:r>
          </w:p>
        </w:tc>
      </w:tr>
      <w:tr w:rsidR="00414A95" w:rsidRPr="00414A95" w14:paraId="7F3C5F69" w14:textId="77777777" w:rsidTr="00414A95">
        <w:trPr>
          <w:trHeight w:val="255"/>
        </w:trPr>
        <w:tc>
          <w:tcPr>
            <w:tcW w:w="2840" w:type="dxa"/>
            <w:vMerge/>
            <w:tcBorders>
              <w:top w:val="nil"/>
              <w:left w:val="single" w:sz="4" w:space="0" w:color="auto"/>
              <w:bottom w:val="nil"/>
              <w:right w:val="single" w:sz="4" w:space="0" w:color="auto"/>
            </w:tcBorders>
            <w:vAlign w:val="center"/>
            <w:hideMark/>
          </w:tcPr>
          <w:p w14:paraId="2AE154D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auto"/>
              <w:right w:val="single" w:sz="4" w:space="0" w:color="auto"/>
            </w:tcBorders>
            <w:vAlign w:val="center"/>
            <w:hideMark/>
          </w:tcPr>
          <w:p w14:paraId="21819C5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0457B1B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3487EF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2730 - Cover Assistants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37AB21D2" w14:textId="77777777" w:rsidTr="00414A95">
        <w:trPr>
          <w:trHeight w:val="300"/>
        </w:trPr>
        <w:tc>
          <w:tcPr>
            <w:tcW w:w="28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25457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Spend on other staff costs as a percentage of total expenditure</w:t>
            </w:r>
          </w:p>
        </w:tc>
        <w:tc>
          <w:tcPr>
            <w:tcW w:w="1300" w:type="dxa"/>
            <w:vMerge w:val="restart"/>
            <w:tcBorders>
              <w:top w:val="nil"/>
              <w:left w:val="single" w:sz="4" w:space="0" w:color="auto"/>
              <w:bottom w:val="single" w:sz="4" w:space="0" w:color="000000"/>
              <w:right w:val="single" w:sz="4" w:space="0" w:color="auto"/>
            </w:tcBorders>
            <w:shd w:val="clear" w:color="auto" w:fill="auto"/>
            <w:hideMark/>
          </w:tcPr>
          <w:p w14:paraId="12E7C07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E7, E8, E</w:t>
            </w:r>
            <w:proofErr w:type="gramStart"/>
            <w:r w:rsidRPr="00414A95">
              <w:rPr>
                <w:rFonts w:ascii="Calibri" w:eastAsia="Times New Roman" w:hAnsi="Calibri" w:cs="Calibri"/>
                <w:color w:val="000000"/>
                <w:sz w:val="20"/>
                <w:szCs w:val="20"/>
                <w:lang w:eastAsia="en-GB"/>
              </w:rPr>
              <w:t>9,&amp;</w:t>
            </w:r>
            <w:proofErr w:type="gramEnd"/>
            <w:r w:rsidRPr="00414A95">
              <w:rPr>
                <w:rFonts w:ascii="Calibri" w:eastAsia="Times New Roman" w:hAnsi="Calibri" w:cs="Calibri"/>
                <w:color w:val="000000"/>
                <w:sz w:val="20"/>
                <w:szCs w:val="20"/>
                <w:lang w:eastAsia="en-GB"/>
              </w:rPr>
              <w:t xml:space="preserve"> E11</w:t>
            </w: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5FCFC9A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E5</w:t>
            </w:r>
          </w:p>
        </w:tc>
        <w:tc>
          <w:tcPr>
            <w:tcW w:w="4180" w:type="dxa"/>
            <w:tcBorders>
              <w:top w:val="nil"/>
              <w:left w:val="nil"/>
              <w:bottom w:val="single" w:sz="4" w:space="0" w:color="auto"/>
              <w:right w:val="single" w:sz="4" w:space="0" w:color="auto"/>
            </w:tcBorders>
            <w:shd w:val="clear" w:color="000000" w:fill="FFFFFF"/>
            <w:noWrap/>
            <w:vAlign w:val="center"/>
            <w:hideMark/>
          </w:tcPr>
          <w:p w14:paraId="41781AD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2820 - Out of hours staff - Salaries</w:t>
            </w:r>
          </w:p>
        </w:tc>
      </w:tr>
      <w:tr w:rsidR="00414A95" w:rsidRPr="00414A95" w14:paraId="21427FEB" w14:textId="77777777" w:rsidTr="00414A95">
        <w:trPr>
          <w:trHeight w:val="300"/>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3B3D3C1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737578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6124FA8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62ACFBB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2825 - Out of hours staff - NI</w:t>
            </w:r>
          </w:p>
        </w:tc>
      </w:tr>
      <w:tr w:rsidR="00414A95" w:rsidRPr="00414A95" w14:paraId="061FAF0A" w14:textId="77777777" w:rsidTr="00414A95">
        <w:trPr>
          <w:trHeight w:val="300"/>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0F32105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EA8EB3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15547A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3FAA5F8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2830 - Out of hours staff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335102C7" w14:textId="77777777" w:rsidTr="00414A95">
        <w:trPr>
          <w:trHeight w:val="300"/>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088ACE4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01843B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4DEBDAF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6C3B203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2835 - Out of hours staff - Overtime</w:t>
            </w:r>
          </w:p>
        </w:tc>
      </w:tr>
      <w:tr w:rsidR="00414A95" w:rsidRPr="00414A95" w14:paraId="584BC02B" w14:textId="77777777" w:rsidTr="00414A95">
        <w:trPr>
          <w:trHeight w:val="300"/>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45E469B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6B8F1D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6021B25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07C2D40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6030 - Child Care Voucher Admin</w:t>
            </w:r>
          </w:p>
        </w:tc>
      </w:tr>
      <w:tr w:rsidR="00414A95" w:rsidRPr="00414A95" w14:paraId="21BB23FD" w14:textId="77777777" w:rsidTr="00414A95">
        <w:trPr>
          <w:trHeight w:val="300"/>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6D1805F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DAAA8F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auto"/>
              <w:right w:val="single" w:sz="4" w:space="0" w:color="auto"/>
            </w:tcBorders>
            <w:shd w:val="clear" w:color="auto" w:fill="auto"/>
            <w:noWrap/>
            <w:hideMark/>
          </w:tcPr>
          <w:p w14:paraId="2721789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E7</w:t>
            </w:r>
          </w:p>
        </w:tc>
        <w:tc>
          <w:tcPr>
            <w:tcW w:w="4180" w:type="dxa"/>
            <w:tcBorders>
              <w:top w:val="nil"/>
              <w:left w:val="nil"/>
              <w:bottom w:val="single" w:sz="4" w:space="0" w:color="auto"/>
              <w:right w:val="single" w:sz="4" w:space="0" w:color="auto"/>
            </w:tcBorders>
            <w:shd w:val="clear" w:color="auto" w:fill="auto"/>
            <w:noWrap/>
            <w:vAlign w:val="center"/>
            <w:hideMark/>
          </w:tcPr>
          <w:p w14:paraId="4A1BA5F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2320 - Lettings - Salaries</w:t>
            </w:r>
          </w:p>
        </w:tc>
      </w:tr>
      <w:tr w:rsidR="00414A95" w:rsidRPr="00414A95" w14:paraId="279E5B83"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2360754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68012D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3A607B9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272C28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2700 - Lunchtime supervisor - Salaries</w:t>
            </w:r>
          </w:p>
        </w:tc>
      </w:tr>
      <w:tr w:rsidR="00414A95" w:rsidRPr="00414A95" w14:paraId="1B6831D6"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0129849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0D039B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3F432FC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F8C7B7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2705 - Lunchtime Supervisor - NI</w:t>
            </w:r>
          </w:p>
        </w:tc>
      </w:tr>
      <w:tr w:rsidR="00414A95" w:rsidRPr="00414A95" w14:paraId="6898058F"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074C906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F4D431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7214C57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1E851D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2710 - Lunchtime Supervisor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431FCE9C"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2B1A2D1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640CC0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1EDF3DD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5546E7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2715 - Lunchtime Supervisor - Overtime</w:t>
            </w:r>
          </w:p>
        </w:tc>
      </w:tr>
      <w:tr w:rsidR="00414A95" w:rsidRPr="00414A95" w14:paraId="5DB182E2"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364613C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972BD9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01DF6DE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E8</w:t>
            </w:r>
          </w:p>
        </w:tc>
        <w:tc>
          <w:tcPr>
            <w:tcW w:w="4180" w:type="dxa"/>
            <w:tcBorders>
              <w:top w:val="nil"/>
              <w:left w:val="nil"/>
              <w:bottom w:val="single" w:sz="4" w:space="0" w:color="auto"/>
              <w:right w:val="single" w:sz="4" w:space="0" w:color="auto"/>
            </w:tcBorders>
            <w:shd w:val="clear" w:color="auto" w:fill="auto"/>
            <w:noWrap/>
            <w:vAlign w:val="center"/>
            <w:hideMark/>
          </w:tcPr>
          <w:p w14:paraId="7388AF1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2840 - LGPS pension deficit</w:t>
            </w:r>
          </w:p>
        </w:tc>
      </w:tr>
      <w:tr w:rsidR="00414A95" w:rsidRPr="00414A95" w14:paraId="27AC97D8"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7DF7092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927942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4E6AAA3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D105C2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2900 - Apprenticeship Levy</w:t>
            </w:r>
          </w:p>
        </w:tc>
      </w:tr>
      <w:tr w:rsidR="00414A95" w:rsidRPr="00414A95" w14:paraId="453F0219"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2349F23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6DD088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489D353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20FDA8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6005 - Apprenticeship Levy</w:t>
            </w:r>
          </w:p>
        </w:tc>
      </w:tr>
      <w:tr w:rsidR="00414A95" w:rsidRPr="00414A95" w14:paraId="61E6A01E"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1D40547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7F656B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506893E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6FDCE7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6010 - Recruitment Costs - </w:t>
            </w:r>
            <w:proofErr w:type="spellStart"/>
            <w:r w:rsidRPr="00414A95">
              <w:rPr>
                <w:rFonts w:ascii="Calibri" w:eastAsia="Times New Roman" w:hAnsi="Calibri" w:cs="Calibri"/>
                <w:color w:val="000000"/>
                <w:sz w:val="20"/>
                <w:szCs w:val="20"/>
                <w:lang w:eastAsia="en-GB"/>
              </w:rPr>
              <w:t>inc</w:t>
            </w:r>
            <w:proofErr w:type="spellEnd"/>
            <w:r w:rsidRPr="00414A95">
              <w:rPr>
                <w:rFonts w:ascii="Calibri" w:eastAsia="Times New Roman" w:hAnsi="Calibri" w:cs="Calibri"/>
                <w:color w:val="000000"/>
                <w:sz w:val="20"/>
                <w:szCs w:val="20"/>
                <w:lang w:eastAsia="en-GB"/>
              </w:rPr>
              <w:t xml:space="preserve"> interview </w:t>
            </w:r>
            <w:proofErr w:type="spellStart"/>
            <w:r w:rsidRPr="00414A95">
              <w:rPr>
                <w:rFonts w:ascii="Calibri" w:eastAsia="Times New Roman" w:hAnsi="Calibri" w:cs="Calibri"/>
                <w:color w:val="000000"/>
                <w:sz w:val="20"/>
                <w:szCs w:val="20"/>
                <w:lang w:eastAsia="en-GB"/>
              </w:rPr>
              <w:t>exps</w:t>
            </w:r>
            <w:proofErr w:type="spellEnd"/>
          </w:p>
        </w:tc>
      </w:tr>
      <w:tr w:rsidR="00414A95" w:rsidRPr="00414A95" w14:paraId="65EEB7E4"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6799868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7CAA48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416FE2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120E49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6015 - Staff Travel</w:t>
            </w:r>
          </w:p>
        </w:tc>
      </w:tr>
      <w:tr w:rsidR="00414A95" w:rsidRPr="00414A95" w14:paraId="75346775"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12119EC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9048A9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4E457DF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AFE9F5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6020 - CRB Checks</w:t>
            </w:r>
          </w:p>
        </w:tc>
      </w:tr>
      <w:tr w:rsidR="00414A95" w:rsidRPr="00414A95" w14:paraId="59C50DD4"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7671E7F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ADBECE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21B55F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DBDE9F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6025 - Hospitality</w:t>
            </w:r>
          </w:p>
        </w:tc>
      </w:tr>
      <w:tr w:rsidR="00414A95" w:rsidRPr="00414A95" w14:paraId="264047D4"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77B0763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7B369D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tcBorders>
              <w:top w:val="nil"/>
              <w:left w:val="nil"/>
              <w:bottom w:val="nil"/>
              <w:right w:val="single" w:sz="4" w:space="0" w:color="auto"/>
            </w:tcBorders>
            <w:shd w:val="clear" w:color="auto" w:fill="auto"/>
            <w:noWrap/>
            <w:hideMark/>
          </w:tcPr>
          <w:p w14:paraId="48F0BC9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E9</w:t>
            </w:r>
          </w:p>
        </w:tc>
        <w:tc>
          <w:tcPr>
            <w:tcW w:w="4180" w:type="dxa"/>
            <w:tcBorders>
              <w:top w:val="nil"/>
              <w:left w:val="nil"/>
              <w:bottom w:val="single" w:sz="4" w:space="0" w:color="auto"/>
              <w:right w:val="single" w:sz="4" w:space="0" w:color="auto"/>
            </w:tcBorders>
            <w:shd w:val="clear" w:color="auto" w:fill="auto"/>
            <w:noWrap/>
            <w:vAlign w:val="center"/>
            <w:hideMark/>
          </w:tcPr>
          <w:p w14:paraId="5680CCD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6000 - Training Costs</w:t>
            </w:r>
          </w:p>
        </w:tc>
      </w:tr>
      <w:tr w:rsidR="00414A95" w:rsidRPr="00414A95" w14:paraId="46D66C13" w14:textId="77777777" w:rsidTr="00414A95">
        <w:trPr>
          <w:trHeight w:val="255"/>
        </w:trPr>
        <w:tc>
          <w:tcPr>
            <w:tcW w:w="2840" w:type="dxa"/>
            <w:vMerge/>
            <w:tcBorders>
              <w:top w:val="single" w:sz="4" w:space="0" w:color="auto"/>
              <w:left w:val="single" w:sz="4" w:space="0" w:color="auto"/>
              <w:bottom w:val="single" w:sz="4" w:space="0" w:color="000000"/>
              <w:right w:val="single" w:sz="4" w:space="0" w:color="auto"/>
            </w:tcBorders>
            <w:vAlign w:val="center"/>
            <w:hideMark/>
          </w:tcPr>
          <w:p w14:paraId="0B10481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AA9628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tcBorders>
              <w:top w:val="single" w:sz="4" w:space="0" w:color="auto"/>
              <w:left w:val="nil"/>
              <w:bottom w:val="single" w:sz="4" w:space="0" w:color="auto"/>
              <w:right w:val="single" w:sz="4" w:space="0" w:color="auto"/>
            </w:tcBorders>
            <w:shd w:val="clear" w:color="auto" w:fill="auto"/>
            <w:noWrap/>
            <w:hideMark/>
          </w:tcPr>
          <w:p w14:paraId="1F36CC2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E23</w:t>
            </w:r>
          </w:p>
        </w:tc>
        <w:tc>
          <w:tcPr>
            <w:tcW w:w="4180" w:type="dxa"/>
            <w:tcBorders>
              <w:top w:val="nil"/>
              <w:left w:val="nil"/>
              <w:bottom w:val="single" w:sz="4" w:space="0" w:color="auto"/>
              <w:right w:val="single" w:sz="4" w:space="0" w:color="auto"/>
            </w:tcBorders>
            <w:shd w:val="clear" w:color="auto" w:fill="auto"/>
            <w:noWrap/>
            <w:vAlign w:val="center"/>
            <w:hideMark/>
          </w:tcPr>
          <w:p w14:paraId="1442196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3265 - Absence and Maternity Insurance Costs</w:t>
            </w:r>
          </w:p>
        </w:tc>
      </w:tr>
      <w:tr w:rsidR="00414A95" w:rsidRPr="00414A95" w14:paraId="5B6BD233" w14:textId="77777777" w:rsidTr="00414A95">
        <w:trPr>
          <w:trHeight w:val="255"/>
        </w:trPr>
        <w:tc>
          <w:tcPr>
            <w:tcW w:w="2840" w:type="dxa"/>
            <w:vMerge w:val="restart"/>
            <w:tcBorders>
              <w:top w:val="nil"/>
              <w:left w:val="single" w:sz="4" w:space="0" w:color="auto"/>
              <w:bottom w:val="single" w:sz="4" w:space="0" w:color="000000"/>
              <w:right w:val="single" w:sz="4" w:space="0" w:color="auto"/>
            </w:tcBorders>
            <w:shd w:val="clear" w:color="auto" w:fill="auto"/>
            <w:hideMark/>
          </w:tcPr>
          <w:p w14:paraId="2AFCE9F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Spend on premises (including staff costs) as a percentage of total expenditure</w:t>
            </w:r>
          </w:p>
        </w:tc>
        <w:tc>
          <w:tcPr>
            <w:tcW w:w="1300" w:type="dxa"/>
            <w:vMerge w:val="restart"/>
            <w:tcBorders>
              <w:top w:val="nil"/>
              <w:left w:val="single" w:sz="4" w:space="0" w:color="auto"/>
              <w:bottom w:val="single" w:sz="4" w:space="0" w:color="000000"/>
              <w:right w:val="single" w:sz="4" w:space="0" w:color="auto"/>
            </w:tcBorders>
            <w:shd w:val="clear" w:color="auto" w:fill="auto"/>
            <w:hideMark/>
          </w:tcPr>
          <w:p w14:paraId="43A7C8F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E5, E13, E14, E18, &amp; E36</w:t>
            </w: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16D5CD0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E4</w:t>
            </w:r>
          </w:p>
        </w:tc>
        <w:tc>
          <w:tcPr>
            <w:tcW w:w="4180" w:type="dxa"/>
            <w:tcBorders>
              <w:top w:val="nil"/>
              <w:left w:val="nil"/>
              <w:bottom w:val="single" w:sz="4" w:space="0" w:color="auto"/>
              <w:right w:val="single" w:sz="4" w:space="0" w:color="auto"/>
            </w:tcBorders>
            <w:shd w:val="clear" w:color="auto" w:fill="auto"/>
            <w:noWrap/>
            <w:hideMark/>
          </w:tcPr>
          <w:p w14:paraId="2328485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2300 - Premises Staff - Salaries</w:t>
            </w:r>
          </w:p>
        </w:tc>
      </w:tr>
      <w:tr w:rsidR="00414A95" w:rsidRPr="00414A95" w14:paraId="0116991A"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26BC8E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C06AEE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777129E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hideMark/>
          </w:tcPr>
          <w:p w14:paraId="4B61C6D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2305 - Premises Staff - NI</w:t>
            </w:r>
          </w:p>
        </w:tc>
      </w:tr>
      <w:tr w:rsidR="00414A95" w:rsidRPr="00414A95" w14:paraId="67BF1E14"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AFC303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7D3A46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2D56B53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hideMark/>
          </w:tcPr>
          <w:p w14:paraId="727403B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2310 - Premises Staff - </w:t>
            </w:r>
            <w:proofErr w:type="spellStart"/>
            <w:r w:rsidRPr="00414A95">
              <w:rPr>
                <w:rFonts w:ascii="Calibri" w:eastAsia="Times New Roman" w:hAnsi="Calibri" w:cs="Calibri"/>
                <w:color w:val="000000"/>
                <w:sz w:val="20"/>
                <w:szCs w:val="20"/>
                <w:lang w:eastAsia="en-GB"/>
              </w:rPr>
              <w:t>Supn</w:t>
            </w:r>
            <w:proofErr w:type="spellEnd"/>
          </w:p>
        </w:tc>
      </w:tr>
      <w:tr w:rsidR="00414A95" w:rsidRPr="00414A95" w14:paraId="0745D44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9F1D1B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D06206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2F161CF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hideMark/>
          </w:tcPr>
          <w:p w14:paraId="7E61C16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2315 - Premises Staff - Overtime</w:t>
            </w:r>
          </w:p>
        </w:tc>
      </w:tr>
      <w:tr w:rsidR="00414A95" w:rsidRPr="00414A95" w14:paraId="03989A22"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CEC85E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8D8A80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auto"/>
              <w:right w:val="single" w:sz="4" w:space="0" w:color="auto"/>
            </w:tcBorders>
            <w:shd w:val="clear" w:color="auto" w:fill="auto"/>
            <w:noWrap/>
            <w:hideMark/>
          </w:tcPr>
          <w:p w14:paraId="6AB41E7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E12</w:t>
            </w:r>
          </w:p>
        </w:tc>
        <w:tc>
          <w:tcPr>
            <w:tcW w:w="4180" w:type="dxa"/>
            <w:tcBorders>
              <w:top w:val="nil"/>
              <w:left w:val="nil"/>
              <w:bottom w:val="single" w:sz="4" w:space="0" w:color="auto"/>
              <w:right w:val="single" w:sz="4" w:space="0" w:color="auto"/>
            </w:tcBorders>
            <w:shd w:val="clear" w:color="auto" w:fill="auto"/>
            <w:noWrap/>
            <w:vAlign w:val="center"/>
            <w:hideMark/>
          </w:tcPr>
          <w:p w14:paraId="1B00AA7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3000 - Building Projects / Maintenance &gt; £1K</w:t>
            </w:r>
          </w:p>
        </w:tc>
      </w:tr>
      <w:tr w:rsidR="00414A95" w:rsidRPr="00414A95" w14:paraId="0BA91367"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05DCA5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9284A1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19AF301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0D3E29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3005 - Repairs &amp; Maintenance (below £1,000)</w:t>
            </w:r>
          </w:p>
        </w:tc>
      </w:tr>
      <w:tr w:rsidR="00414A95" w:rsidRPr="00414A95" w14:paraId="5DE6CB1A"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05A07C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8E9EB7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50FBCDE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7164F2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3012 - Premises Compliance contracts</w:t>
            </w:r>
          </w:p>
        </w:tc>
      </w:tr>
      <w:tr w:rsidR="00414A95" w:rsidRPr="00414A95" w14:paraId="6DE787EA"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A0A990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39DBA0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auto"/>
              <w:right w:val="single" w:sz="4" w:space="0" w:color="auto"/>
            </w:tcBorders>
            <w:shd w:val="clear" w:color="auto" w:fill="auto"/>
            <w:noWrap/>
            <w:hideMark/>
          </w:tcPr>
          <w:p w14:paraId="54F6443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E13</w:t>
            </w:r>
          </w:p>
        </w:tc>
        <w:tc>
          <w:tcPr>
            <w:tcW w:w="4180" w:type="dxa"/>
            <w:tcBorders>
              <w:top w:val="nil"/>
              <w:left w:val="nil"/>
              <w:bottom w:val="single" w:sz="4" w:space="0" w:color="auto"/>
              <w:right w:val="single" w:sz="4" w:space="0" w:color="auto"/>
            </w:tcBorders>
            <w:shd w:val="clear" w:color="auto" w:fill="auto"/>
            <w:noWrap/>
            <w:vAlign w:val="center"/>
            <w:hideMark/>
          </w:tcPr>
          <w:p w14:paraId="06A4734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3010 - Grounds Maintenance - Contract</w:t>
            </w:r>
          </w:p>
        </w:tc>
      </w:tr>
      <w:tr w:rsidR="00414A95" w:rsidRPr="00414A95" w14:paraId="31B028F7"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656186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FF27BE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648778D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C33FE5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3011 - Grounds Maintenance - Non - contract</w:t>
            </w:r>
          </w:p>
        </w:tc>
      </w:tr>
      <w:tr w:rsidR="00414A95" w:rsidRPr="00414A95" w14:paraId="06F26ECD"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E2066C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C1361A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1E95B4C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E14</w:t>
            </w:r>
          </w:p>
        </w:tc>
        <w:tc>
          <w:tcPr>
            <w:tcW w:w="4180" w:type="dxa"/>
            <w:tcBorders>
              <w:top w:val="nil"/>
              <w:left w:val="nil"/>
              <w:bottom w:val="single" w:sz="4" w:space="0" w:color="auto"/>
              <w:right w:val="single" w:sz="4" w:space="0" w:color="auto"/>
            </w:tcBorders>
            <w:shd w:val="clear" w:color="auto" w:fill="auto"/>
            <w:noWrap/>
            <w:vAlign w:val="center"/>
            <w:hideMark/>
          </w:tcPr>
          <w:p w14:paraId="70444AB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3105 - Cleaning Contract</w:t>
            </w:r>
          </w:p>
        </w:tc>
      </w:tr>
      <w:tr w:rsidR="00414A95" w:rsidRPr="00414A95" w14:paraId="61651BCF"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D9163C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DAC75D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C31C90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CFA824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3110 - Cleaning Materials</w:t>
            </w:r>
          </w:p>
        </w:tc>
      </w:tr>
      <w:tr w:rsidR="00414A95" w:rsidRPr="00414A95" w14:paraId="6B312FAC"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EE8C69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3185CE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18B0410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CBAF40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3120 - Hygiene Services</w:t>
            </w:r>
          </w:p>
        </w:tc>
      </w:tr>
      <w:tr w:rsidR="00414A95" w:rsidRPr="00414A95" w14:paraId="10BC956B"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8FEC5F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0FE089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tcBorders>
              <w:top w:val="nil"/>
              <w:left w:val="nil"/>
              <w:bottom w:val="single" w:sz="4" w:space="0" w:color="auto"/>
              <w:right w:val="single" w:sz="4" w:space="0" w:color="auto"/>
            </w:tcBorders>
            <w:shd w:val="clear" w:color="auto" w:fill="auto"/>
            <w:noWrap/>
            <w:hideMark/>
          </w:tcPr>
          <w:p w14:paraId="6C9D9ED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E30</w:t>
            </w:r>
          </w:p>
        </w:tc>
        <w:tc>
          <w:tcPr>
            <w:tcW w:w="4180" w:type="dxa"/>
            <w:tcBorders>
              <w:top w:val="nil"/>
              <w:left w:val="nil"/>
              <w:bottom w:val="single" w:sz="4" w:space="0" w:color="auto"/>
              <w:right w:val="single" w:sz="4" w:space="0" w:color="auto"/>
            </w:tcBorders>
            <w:shd w:val="clear" w:color="auto" w:fill="auto"/>
            <w:noWrap/>
            <w:vAlign w:val="center"/>
            <w:hideMark/>
          </w:tcPr>
          <w:p w14:paraId="75E296B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7900 - Revenue Contribution to Capital</w:t>
            </w:r>
          </w:p>
        </w:tc>
      </w:tr>
      <w:tr w:rsidR="00414A95" w:rsidRPr="00414A95" w14:paraId="3A9728DB" w14:textId="77777777" w:rsidTr="00414A95">
        <w:trPr>
          <w:trHeight w:val="255"/>
        </w:trPr>
        <w:tc>
          <w:tcPr>
            <w:tcW w:w="2840" w:type="dxa"/>
            <w:vMerge w:val="restart"/>
            <w:tcBorders>
              <w:top w:val="nil"/>
              <w:left w:val="single" w:sz="4" w:space="0" w:color="auto"/>
              <w:bottom w:val="single" w:sz="4" w:space="0" w:color="000000"/>
              <w:right w:val="single" w:sz="4" w:space="0" w:color="auto"/>
            </w:tcBorders>
            <w:shd w:val="clear" w:color="auto" w:fill="auto"/>
            <w:hideMark/>
          </w:tcPr>
          <w:p w14:paraId="2DBCE07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Spend on teaching resources as a percentage of total expenditure</w:t>
            </w:r>
          </w:p>
        </w:tc>
        <w:tc>
          <w:tcPr>
            <w:tcW w:w="1300" w:type="dxa"/>
            <w:vMerge w:val="restart"/>
            <w:tcBorders>
              <w:top w:val="nil"/>
              <w:left w:val="single" w:sz="4" w:space="0" w:color="auto"/>
              <w:bottom w:val="single" w:sz="4" w:space="0" w:color="000000"/>
              <w:right w:val="single" w:sz="4" w:space="0" w:color="auto"/>
            </w:tcBorders>
            <w:shd w:val="clear" w:color="auto" w:fill="auto"/>
            <w:hideMark/>
          </w:tcPr>
          <w:p w14:paraId="41FD2B9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E22, E23, &amp; E24</w:t>
            </w:r>
          </w:p>
        </w:tc>
        <w:tc>
          <w:tcPr>
            <w:tcW w:w="880" w:type="dxa"/>
            <w:vMerge w:val="restart"/>
            <w:tcBorders>
              <w:top w:val="nil"/>
              <w:left w:val="single" w:sz="4" w:space="0" w:color="auto"/>
              <w:bottom w:val="single" w:sz="4" w:space="0" w:color="auto"/>
              <w:right w:val="single" w:sz="4" w:space="0" w:color="auto"/>
            </w:tcBorders>
            <w:shd w:val="clear" w:color="auto" w:fill="auto"/>
            <w:noWrap/>
            <w:hideMark/>
          </w:tcPr>
          <w:p w14:paraId="287D6C2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E19</w:t>
            </w:r>
          </w:p>
        </w:tc>
        <w:tc>
          <w:tcPr>
            <w:tcW w:w="4180" w:type="dxa"/>
            <w:tcBorders>
              <w:top w:val="nil"/>
              <w:left w:val="nil"/>
              <w:bottom w:val="single" w:sz="4" w:space="0" w:color="auto"/>
              <w:right w:val="single" w:sz="4" w:space="0" w:color="auto"/>
            </w:tcBorders>
            <w:shd w:val="clear" w:color="auto" w:fill="auto"/>
            <w:noWrap/>
            <w:vAlign w:val="center"/>
            <w:hideMark/>
          </w:tcPr>
          <w:p w14:paraId="6EAB3ED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4000 - Student Rewards</w:t>
            </w:r>
          </w:p>
        </w:tc>
      </w:tr>
      <w:tr w:rsidR="00414A95" w:rsidRPr="00414A95" w14:paraId="6606A478"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407368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3C45C4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0F15955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4A10151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4001 - Educational Resources</w:t>
            </w:r>
          </w:p>
        </w:tc>
      </w:tr>
      <w:tr w:rsidR="00414A95" w:rsidRPr="00414A95" w14:paraId="56188972"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7E06C8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7AF73B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50F63D8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1A3DB1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4002 - Home to school transport</w:t>
            </w:r>
          </w:p>
        </w:tc>
      </w:tr>
      <w:tr w:rsidR="00414A95" w:rsidRPr="00414A95" w14:paraId="7584775D"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65DCBE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7654A6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63E4C65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A9A88F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4003 - Pupil - House hardship</w:t>
            </w:r>
          </w:p>
        </w:tc>
      </w:tr>
      <w:tr w:rsidR="00414A95" w:rsidRPr="00414A95" w14:paraId="0DA06118"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5E4279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CD0A38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7B1F394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7E4551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4004 - Reprographics - Educational</w:t>
            </w:r>
          </w:p>
        </w:tc>
      </w:tr>
      <w:tr w:rsidR="00414A95" w:rsidRPr="00414A95" w14:paraId="69406E84"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CB9893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4D114D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74192F2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531F99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4005 - Books</w:t>
            </w:r>
          </w:p>
        </w:tc>
      </w:tr>
      <w:tr w:rsidR="00414A95" w:rsidRPr="00414A95" w14:paraId="0AD20218"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7DCB04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8640E2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517EDC8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ADE3CE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4006 - Swimming Pool Charges</w:t>
            </w:r>
          </w:p>
        </w:tc>
      </w:tr>
      <w:tr w:rsidR="00414A95" w:rsidRPr="00414A95" w14:paraId="3DB02A42"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35A7065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3AB3D9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3B6627E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9160AF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4010 - Equipment (Not IT - below £1,000)</w:t>
            </w:r>
          </w:p>
        </w:tc>
      </w:tr>
      <w:tr w:rsidR="00414A95" w:rsidRPr="00414A95" w14:paraId="5FB7A41D"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A51EF1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44EC37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7CAC775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F6BA57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4011 - Equipment (Not IT - over £1,000)</w:t>
            </w:r>
          </w:p>
        </w:tc>
      </w:tr>
      <w:tr w:rsidR="00414A95" w:rsidRPr="00414A95" w14:paraId="7E5751FB"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31FDD4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879BAF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1106C0C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4B1EF98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4020 - Stationery</w:t>
            </w:r>
          </w:p>
        </w:tc>
      </w:tr>
      <w:tr w:rsidR="00414A95" w:rsidRPr="00414A95" w14:paraId="2B8C04EB"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6F1153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9C916E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527FC5D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AD514C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4025 - Photocopying</w:t>
            </w:r>
          </w:p>
        </w:tc>
      </w:tr>
      <w:tr w:rsidR="00414A95" w:rsidRPr="00414A95" w14:paraId="420AACE0"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35A57C4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89E29A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56B1C94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D83BD8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4035 - Educational Visits Subsidy - Cost Centre</w:t>
            </w:r>
          </w:p>
        </w:tc>
      </w:tr>
      <w:tr w:rsidR="00414A95" w:rsidRPr="00414A95" w14:paraId="23B14358"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E96D62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BA1982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315662F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A20498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4036 - Educational Visits Subsidy - Trip</w:t>
            </w:r>
          </w:p>
        </w:tc>
      </w:tr>
      <w:tr w:rsidR="00414A95" w:rsidRPr="00414A95" w14:paraId="2A05864B"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2713A2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CD0799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54D5F2D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ED12F0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4040 - Student Bursary Payment 16-19</w:t>
            </w:r>
          </w:p>
        </w:tc>
      </w:tr>
      <w:tr w:rsidR="00414A95" w:rsidRPr="00414A95" w14:paraId="25125C7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30FDBCE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1455CC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2D04731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EBF1EE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4041 - Student Bursary Pupil Premium</w:t>
            </w:r>
          </w:p>
        </w:tc>
      </w:tr>
      <w:tr w:rsidR="00414A95" w:rsidRPr="00414A95" w14:paraId="30E89099"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C71159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955568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49E6819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B066F4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4042 - Teaching </w:t>
            </w:r>
            <w:proofErr w:type="spellStart"/>
            <w:r w:rsidRPr="00414A95">
              <w:rPr>
                <w:rFonts w:ascii="Calibri" w:eastAsia="Times New Roman" w:hAnsi="Calibri" w:cs="Calibri"/>
                <w:color w:val="000000"/>
                <w:sz w:val="20"/>
                <w:szCs w:val="20"/>
                <w:lang w:eastAsia="en-GB"/>
              </w:rPr>
              <w:t>sch</w:t>
            </w:r>
            <w:proofErr w:type="spellEnd"/>
            <w:r w:rsidRPr="00414A95">
              <w:rPr>
                <w:rFonts w:ascii="Calibri" w:eastAsia="Times New Roman" w:hAnsi="Calibri" w:cs="Calibri"/>
                <w:color w:val="000000"/>
                <w:sz w:val="20"/>
                <w:szCs w:val="20"/>
                <w:lang w:eastAsia="en-GB"/>
              </w:rPr>
              <w:t>-Charges from other Schools</w:t>
            </w:r>
          </w:p>
        </w:tc>
      </w:tr>
      <w:tr w:rsidR="00414A95" w:rsidRPr="00414A95" w14:paraId="60B4A95B"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5001D3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06CB1F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74F3864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D72305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4043 - Student Course Fees</w:t>
            </w:r>
          </w:p>
        </w:tc>
      </w:tr>
      <w:tr w:rsidR="00414A95" w:rsidRPr="00414A95" w14:paraId="3D38A7EC"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DD1F3A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A7D479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432FC08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9FA952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4135 - Professional Services - Educational</w:t>
            </w:r>
          </w:p>
        </w:tc>
      </w:tr>
      <w:tr w:rsidR="00414A95" w:rsidRPr="00414A95" w14:paraId="15987EA8"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18EEFC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390DC5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0760C60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69AA42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4140 - Subscriptions</w:t>
            </w:r>
          </w:p>
        </w:tc>
      </w:tr>
      <w:tr w:rsidR="00414A95" w:rsidRPr="00414A95" w14:paraId="1417D22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63FAAA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381B3C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41DB02E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A0C474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6500 - Trips Travel Costs</w:t>
            </w:r>
          </w:p>
        </w:tc>
      </w:tr>
      <w:tr w:rsidR="00414A95" w:rsidRPr="00414A95" w14:paraId="055EC04E"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0E4F33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A53337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04E91AD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DB78B0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6505 - Trips </w:t>
            </w:r>
            <w:proofErr w:type="spellStart"/>
            <w:r w:rsidRPr="00414A95">
              <w:rPr>
                <w:rFonts w:ascii="Calibri" w:eastAsia="Times New Roman" w:hAnsi="Calibri" w:cs="Calibri"/>
                <w:color w:val="000000"/>
                <w:sz w:val="20"/>
                <w:szCs w:val="20"/>
                <w:lang w:eastAsia="en-GB"/>
              </w:rPr>
              <w:t>Accomodation</w:t>
            </w:r>
            <w:proofErr w:type="spellEnd"/>
            <w:r w:rsidRPr="00414A95">
              <w:rPr>
                <w:rFonts w:ascii="Calibri" w:eastAsia="Times New Roman" w:hAnsi="Calibri" w:cs="Calibri"/>
                <w:color w:val="000000"/>
                <w:sz w:val="20"/>
                <w:szCs w:val="20"/>
                <w:lang w:eastAsia="en-GB"/>
              </w:rPr>
              <w:t>/Entrance</w:t>
            </w:r>
          </w:p>
        </w:tc>
      </w:tr>
      <w:tr w:rsidR="00414A95" w:rsidRPr="00414A95" w14:paraId="260490CB"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F041B9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BA2827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2473BB3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6E1F87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6525 - Trips Music Tuition</w:t>
            </w:r>
          </w:p>
        </w:tc>
      </w:tr>
      <w:tr w:rsidR="00414A95" w:rsidRPr="00414A95" w14:paraId="10FA351A"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83386C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BC546C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2A38D74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1A84F6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6540 - Trips </w:t>
            </w:r>
            <w:proofErr w:type="spellStart"/>
            <w:r w:rsidRPr="00414A95">
              <w:rPr>
                <w:rFonts w:ascii="Calibri" w:eastAsia="Times New Roman" w:hAnsi="Calibri" w:cs="Calibri"/>
                <w:color w:val="000000"/>
                <w:sz w:val="20"/>
                <w:szCs w:val="20"/>
                <w:lang w:eastAsia="en-GB"/>
              </w:rPr>
              <w:t>parentpay</w:t>
            </w:r>
            <w:proofErr w:type="spellEnd"/>
            <w:r w:rsidRPr="00414A95">
              <w:rPr>
                <w:rFonts w:ascii="Calibri" w:eastAsia="Times New Roman" w:hAnsi="Calibri" w:cs="Calibri"/>
                <w:color w:val="000000"/>
                <w:sz w:val="20"/>
                <w:szCs w:val="20"/>
                <w:lang w:eastAsia="en-GB"/>
              </w:rPr>
              <w:t xml:space="preserve"> fees</w:t>
            </w:r>
          </w:p>
        </w:tc>
      </w:tr>
      <w:tr w:rsidR="00414A95" w:rsidRPr="00414A95" w14:paraId="68170887"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9D3D96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F47E54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0434FDF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E20</w:t>
            </w:r>
          </w:p>
        </w:tc>
        <w:tc>
          <w:tcPr>
            <w:tcW w:w="4180" w:type="dxa"/>
            <w:tcBorders>
              <w:top w:val="nil"/>
              <w:left w:val="nil"/>
              <w:bottom w:val="single" w:sz="4" w:space="0" w:color="auto"/>
              <w:right w:val="single" w:sz="4" w:space="0" w:color="auto"/>
            </w:tcBorders>
            <w:shd w:val="clear" w:color="auto" w:fill="auto"/>
            <w:noWrap/>
            <w:vAlign w:val="center"/>
            <w:hideMark/>
          </w:tcPr>
          <w:p w14:paraId="7FFEABF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4015 - IT Consumables - Educational</w:t>
            </w:r>
          </w:p>
        </w:tc>
      </w:tr>
      <w:tr w:rsidR="00414A95" w:rsidRPr="00414A95" w14:paraId="068074A2"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6AF041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33C2F5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6F1A9D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00CCF7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4155 - IT Equipment - Educational</w:t>
            </w:r>
          </w:p>
        </w:tc>
      </w:tr>
      <w:tr w:rsidR="00414A95" w:rsidRPr="00414A95" w14:paraId="2C71CD6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907214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19376C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414162F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47F8DD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4160 - Reprographic - Leases (Faculty)</w:t>
            </w:r>
          </w:p>
        </w:tc>
      </w:tr>
      <w:tr w:rsidR="00414A95" w:rsidRPr="00414A95" w14:paraId="773BF306"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4E1766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889328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4264335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91289C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4170 - Work Experience</w:t>
            </w:r>
          </w:p>
        </w:tc>
      </w:tr>
      <w:tr w:rsidR="00414A95" w:rsidRPr="00414A95" w14:paraId="35841E2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1E730A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D4354A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auto"/>
              <w:right w:val="single" w:sz="4" w:space="0" w:color="auto"/>
            </w:tcBorders>
            <w:shd w:val="clear" w:color="auto" w:fill="auto"/>
            <w:noWrap/>
            <w:hideMark/>
          </w:tcPr>
          <w:p w14:paraId="0B139BE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E21</w:t>
            </w:r>
          </w:p>
        </w:tc>
        <w:tc>
          <w:tcPr>
            <w:tcW w:w="4180" w:type="dxa"/>
            <w:tcBorders>
              <w:top w:val="nil"/>
              <w:left w:val="nil"/>
              <w:bottom w:val="single" w:sz="4" w:space="0" w:color="auto"/>
              <w:right w:val="single" w:sz="4" w:space="0" w:color="auto"/>
            </w:tcBorders>
            <w:shd w:val="clear" w:color="auto" w:fill="auto"/>
            <w:noWrap/>
            <w:vAlign w:val="center"/>
            <w:hideMark/>
          </w:tcPr>
          <w:p w14:paraId="0A4FE15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4145 - Examination Invigilation</w:t>
            </w:r>
          </w:p>
        </w:tc>
      </w:tr>
      <w:tr w:rsidR="00414A95" w:rsidRPr="00414A95" w14:paraId="7FCBB83D"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88547F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C27608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2DAE9D3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ED22B1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4150 - Examination Fees</w:t>
            </w:r>
          </w:p>
        </w:tc>
      </w:tr>
      <w:tr w:rsidR="00414A95" w:rsidRPr="00414A95" w14:paraId="32D05252" w14:textId="77777777" w:rsidTr="00414A95">
        <w:trPr>
          <w:trHeight w:val="255"/>
        </w:trPr>
        <w:tc>
          <w:tcPr>
            <w:tcW w:w="2840" w:type="dxa"/>
            <w:vMerge w:val="restart"/>
            <w:tcBorders>
              <w:top w:val="nil"/>
              <w:left w:val="single" w:sz="4" w:space="0" w:color="auto"/>
              <w:bottom w:val="single" w:sz="4" w:space="0" w:color="000000"/>
              <w:right w:val="single" w:sz="4" w:space="0" w:color="auto"/>
            </w:tcBorders>
            <w:shd w:val="clear" w:color="auto" w:fill="auto"/>
            <w:hideMark/>
          </w:tcPr>
          <w:p w14:paraId="456806C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Spend on energy as a percentage of total expenditure</w:t>
            </w:r>
          </w:p>
        </w:tc>
        <w:tc>
          <w:tcPr>
            <w:tcW w:w="1300" w:type="dxa"/>
            <w:vMerge w:val="restart"/>
            <w:tcBorders>
              <w:top w:val="nil"/>
              <w:left w:val="single" w:sz="4" w:space="0" w:color="auto"/>
              <w:bottom w:val="single" w:sz="4" w:space="0" w:color="000000"/>
              <w:right w:val="single" w:sz="4" w:space="0" w:color="auto"/>
            </w:tcBorders>
            <w:shd w:val="clear" w:color="auto" w:fill="auto"/>
            <w:hideMark/>
          </w:tcPr>
          <w:p w14:paraId="42D8DBA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E16</w:t>
            </w:r>
          </w:p>
        </w:tc>
        <w:tc>
          <w:tcPr>
            <w:tcW w:w="880" w:type="dxa"/>
            <w:vMerge w:val="restart"/>
            <w:tcBorders>
              <w:top w:val="nil"/>
              <w:left w:val="single" w:sz="4" w:space="0" w:color="auto"/>
              <w:bottom w:val="nil"/>
              <w:right w:val="single" w:sz="4" w:space="0" w:color="auto"/>
            </w:tcBorders>
            <w:shd w:val="clear" w:color="auto" w:fill="auto"/>
            <w:noWrap/>
            <w:hideMark/>
          </w:tcPr>
          <w:p w14:paraId="146E997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E16</w:t>
            </w:r>
          </w:p>
        </w:tc>
        <w:tc>
          <w:tcPr>
            <w:tcW w:w="4180" w:type="dxa"/>
            <w:tcBorders>
              <w:top w:val="nil"/>
              <w:left w:val="nil"/>
              <w:bottom w:val="single" w:sz="4" w:space="0" w:color="auto"/>
              <w:right w:val="single" w:sz="4" w:space="0" w:color="auto"/>
            </w:tcBorders>
            <w:shd w:val="clear" w:color="auto" w:fill="auto"/>
            <w:noWrap/>
            <w:vAlign w:val="center"/>
            <w:hideMark/>
          </w:tcPr>
          <w:p w14:paraId="7201316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3205 - Gas</w:t>
            </w:r>
          </w:p>
        </w:tc>
      </w:tr>
      <w:tr w:rsidR="00414A95" w:rsidRPr="00414A95" w14:paraId="28196BB2"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CF2E5D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D68189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nil"/>
              <w:right w:val="single" w:sz="4" w:space="0" w:color="auto"/>
            </w:tcBorders>
            <w:vAlign w:val="center"/>
            <w:hideMark/>
          </w:tcPr>
          <w:p w14:paraId="6D84F8C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149D26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3210 - Electricity</w:t>
            </w:r>
          </w:p>
        </w:tc>
      </w:tr>
      <w:tr w:rsidR="00414A95" w:rsidRPr="00414A95" w14:paraId="39662C66"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24560E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AA47F6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nil"/>
              <w:right w:val="single" w:sz="4" w:space="0" w:color="auto"/>
            </w:tcBorders>
            <w:vAlign w:val="center"/>
            <w:hideMark/>
          </w:tcPr>
          <w:p w14:paraId="43B940E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4FBC29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3215 - Oil</w:t>
            </w:r>
          </w:p>
        </w:tc>
      </w:tr>
      <w:tr w:rsidR="00414A95" w:rsidRPr="00414A95" w14:paraId="244070AA"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FC2085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1C6CFC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nil"/>
              <w:right w:val="single" w:sz="4" w:space="0" w:color="auto"/>
            </w:tcBorders>
            <w:vAlign w:val="center"/>
            <w:hideMark/>
          </w:tcPr>
          <w:p w14:paraId="731E5E9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F1F710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3220 - Rent</w:t>
            </w:r>
          </w:p>
        </w:tc>
      </w:tr>
      <w:tr w:rsidR="00414A95" w:rsidRPr="00414A95" w14:paraId="146E11AC" w14:textId="77777777" w:rsidTr="00414A95">
        <w:trPr>
          <w:trHeight w:val="255"/>
        </w:trPr>
        <w:tc>
          <w:tcPr>
            <w:tcW w:w="2840" w:type="dxa"/>
            <w:vMerge w:val="restart"/>
            <w:tcBorders>
              <w:top w:val="nil"/>
              <w:left w:val="single" w:sz="4" w:space="0" w:color="auto"/>
              <w:bottom w:val="single" w:sz="4" w:space="0" w:color="000000"/>
              <w:right w:val="single" w:sz="4" w:space="0" w:color="auto"/>
            </w:tcBorders>
            <w:shd w:val="clear" w:color="auto" w:fill="auto"/>
            <w:hideMark/>
          </w:tcPr>
          <w:p w14:paraId="572EF01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Other spending as a percentage of total expenditure (balancing line)</w:t>
            </w:r>
          </w:p>
        </w:tc>
        <w:tc>
          <w:tcPr>
            <w:tcW w:w="1300" w:type="dxa"/>
            <w:vMerge w:val="restart"/>
            <w:tcBorders>
              <w:top w:val="nil"/>
              <w:left w:val="single" w:sz="4" w:space="0" w:color="auto"/>
              <w:bottom w:val="single" w:sz="4" w:space="0" w:color="000000"/>
              <w:right w:val="single" w:sz="4" w:space="0" w:color="auto"/>
            </w:tcBorders>
            <w:shd w:val="clear" w:color="auto" w:fill="auto"/>
            <w:hideMark/>
          </w:tcPr>
          <w:p w14:paraId="3EBE77E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E6, E15, E17, E19, E21, E25, E28, E29, E30, E31, E32, E33 &amp; E35</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C09C96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E6</w:t>
            </w:r>
          </w:p>
        </w:tc>
        <w:tc>
          <w:tcPr>
            <w:tcW w:w="4180" w:type="dxa"/>
            <w:tcBorders>
              <w:top w:val="nil"/>
              <w:left w:val="nil"/>
              <w:bottom w:val="single" w:sz="4" w:space="0" w:color="auto"/>
              <w:right w:val="single" w:sz="4" w:space="0" w:color="auto"/>
            </w:tcBorders>
            <w:shd w:val="clear" w:color="auto" w:fill="auto"/>
            <w:noWrap/>
            <w:hideMark/>
          </w:tcPr>
          <w:p w14:paraId="0E8160D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2850 - Salaries - Catering Staff</w:t>
            </w:r>
          </w:p>
        </w:tc>
      </w:tr>
      <w:tr w:rsidR="00414A95" w:rsidRPr="00414A95" w14:paraId="2A4D42C7"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DA8B1F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BC08A0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147C0FF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67CBC3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2855 - Salaries - Catering Staff NI</w:t>
            </w:r>
          </w:p>
        </w:tc>
      </w:tr>
      <w:tr w:rsidR="00414A95" w:rsidRPr="00414A95" w14:paraId="38B0D759"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1079A2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BB14CB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6BD8E93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B77A98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2860 - Salaries - Catering Staff - SUPN</w:t>
            </w:r>
          </w:p>
        </w:tc>
      </w:tr>
      <w:tr w:rsidR="00414A95" w:rsidRPr="00414A95" w14:paraId="592E620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34249A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1112B3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tcBorders>
              <w:top w:val="nil"/>
              <w:left w:val="nil"/>
              <w:bottom w:val="nil"/>
              <w:right w:val="single" w:sz="4" w:space="0" w:color="auto"/>
            </w:tcBorders>
            <w:shd w:val="clear" w:color="auto" w:fill="auto"/>
            <w:noWrap/>
            <w:hideMark/>
          </w:tcPr>
          <w:p w14:paraId="1AB4C8C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E15</w:t>
            </w:r>
          </w:p>
        </w:tc>
        <w:tc>
          <w:tcPr>
            <w:tcW w:w="4180" w:type="dxa"/>
            <w:tcBorders>
              <w:top w:val="nil"/>
              <w:left w:val="nil"/>
              <w:bottom w:val="nil"/>
              <w:right w:val="single" w:sz="4" w:space="0" w:color="000000"/>
            </w:tcBorders>
            <w:shd w:val="clear" w:color="auto" w:fill="auto"/>
            <w:noWrap/>
            <w:vAlign w:val="center"/>
            <w:hideMark/>
          </w:tcPr>
          <w:p w14:paraId="24868F2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3200 - Water/Sewerage Charges</w:t>
            </w:r>
          </w:p>
        </w:tc>
      </w:tr>
      <w:tr w:rsidR="00414A95" w:rsidRPr="00414A95" w14:paraId="02F6898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373430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7DECB3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925EF5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E17</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14:paraId="5F5CB77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3250 - Rates</w:t>
            </w:r>
          </w:p>
        </w:tc>
      </w:tr>
      <w:tr w:rsidR="00414A95" w:rsidRPr="00414A95" w14:paraId="77B60799"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705BB5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1F1735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000000"/>
              <w:right w:val="single" w:sz="4" w:space="0" w:color="auto"/>
            </w:tcBorders>
            <w:shd w:val="clear" w:color="000000" w:fill="FFFFFF"/>
            <w:noWrap/>
            <w:hideMark/>
          </w:tcPr>
          <w:p w14:paraId="66E1D26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E18</w:t>
            </w:r>
          </w:p>
        </w:tc>
        <w:tc>
          <w:tcPr>
            <w:tcW w:w="4180" w:type="dxa"/>
            <w:tcBorders>
              <w:top w:val="nil"/>
              <w:left w:val="nil"/>
              <w:bottom w:val="single" w:sz="4" w:space="0" w:color="auto"/>
              <w:right w:val="single" w:sz="4" w:space="0" w:color="auto"/>
            </w:tcBorders>
            <w:shd w:val="clear" w:color="000000" w:fill="FFFFFF"/>
            <w:noWrap/>
            <w:vAlign w:val="center"/>
            <w:hideMark/>
          </w:tcPr>
          <w:p w14:paraId="00527DF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3100 - Caretaker Supplies</w:t>
            </w:r>
          </w:p>
        </w:tc>
      </w:tr>
      <w:tr w:rsidR="00414A95" w:rsidRPr="00414A95" w14:paraId="6321649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D4E674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3DBF56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862C45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501224F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3125 - Refuse Disposal</w:t>
            </w:r>
          </w:p>
        </w:tc>
      </w:tr>
      <w:tr w:rsidR="00414A95" w:rsidRPr="00414A95" w14:paraId="34A9FE8E"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31C993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B2DF0A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C76EAB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3916A44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3300 - Fire Alarm &amp; Extinguishers</w:t>
            </w:r>
          </w:p>
        </w:tc>
      </w:tr>
      <w:tr w:rsidR="00414A95" w:rsidRPr="00414A95" w14:paraId="124D100A"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8976C9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42DE95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505DC4F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385AE69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3305 - Security</w:t>
            </w:r>
          </w:p>
        </w:tc>
      </w:tr>
      <w:tr w:rsidR="00414A95" w:rsidRPr="00414A95" w14:paraId="333156A0"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316D19A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17E53E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26662AF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388A782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3320 - PAT Testing</w:t>
            </w:r>
          </w:p>
        </w:tc>
      </w:tr>
      <w:tr w:rsidR="00414A95" w:rsidRPr="00414A95" w14:paraId="66D4E472"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6D510C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6F1047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5745648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1C2F8A2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3330 - Health and Safety</w:t>
            </w:r>
          </w:p>
        </w:tc>
      </w:tr>
      <w:tr w:rsidR="00414A95" w:rsidRPr="00414A95" w14:paraId="06F2FAAE"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04CCC2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D4176E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37B10E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23441C0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3340 - Lettings Related Expenditure</w:t>
            </w:r>
          </w:p>
        </w:tc>
      </w:tr>
      <w:tr w:rsidR="00414A95" w:rsidRPr="00414A95" w14:paraId="303F4FFD"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32878E0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5613BF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4E46A29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06D83A4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3341 - </w:t>
            </w:r>
            <w:proofErr w:type="spellStart"/>
            <w:r w:rsidRPr="00414A95">
              <w:rPr>
                <w:rFonts w:ascii="Calibri" w:eastAsia="Times New Roman" w:hAnsi="Calibri" w:cs="Calibri"/>
                <w:color w:val="000000"/>
                <w:sz w:val="20"/>
                <w:szCs w:val="20"/>
                <w:lang w:eastAsia="en-GB"/>
              </w:rPr>
              <w:t>VATpartial</w:t>
            </w:r>
            <w:proofErr w:type="spellEnd"/>
            <w:r w:rsidRPr="00414A95">
              <w:rPr>
                <w:rFonts w:ascii="Calibri" w:eastAsia="Times New Roman" w:hAnsi="Calibri" w:cs="Calibri"/>
                <w:color w:val="000000"/>
                <w:sz w:val="20"/>
                <w:szCs w:val="20"/>
                <w:lang w:eastAsia="en-GB"/>
              </w:rPr>
              <w:t xml:space="preserve"> exemption add back</w:t>
            </w:r>
          </w:p>
        </w:tc>
      </w:tr>
      <w:tr w:rsidR="00414A95" w:rsidRPr="00414A95" w14:paraId="3CA0F71B"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7EC733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50D5B8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C7C18C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000000" w:fill="FFFFFF"/>
            <w:noWrap/>
            <w:vAlign w:val="center"/>
            <w:hideMark/>
          </w:tcPr>
          <w:p w14:paraId="7FCED3D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5145 - General Office Costs</w:t>
            </w:r>
          </w:p>
        </w:tc>
      </w:tr>
      <w:tr w:rsidR="00414A95" w:rsidRPr="00414A95" w14:paraId="47FBC61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6349C2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B5759B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511A6BC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E22</w:t>
            </w:r>
          </w:p>
        </w:tc>
        <w:tc>
          <w:tcPr>
            <w:tcW w:w="4180" w:type="dxa"/>
            <w:tcBorders>
              <w:top w:val="nil"/>
              <w:left w:val="nil"/>
              <w:bottom w:val="single" w:sz="4" w:space="0" w:color="auto"/>
              <w:right w:val="single" w:sz="4" w:space="0" w:color="auto"/>
            </w:tcBorders>
            <w:shd w:val="clear" w:color="auto" w:fill="auto"/>
            <w:noWrap/>
            <w:vAlign w:val="center"/>
            <w:hideMark/>
          </w:tcPr>
          <w:p w14:paraId="7DA542A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5100 - Catering Contract</w:t>
            </w:r>
          </w:p>
        </w:tc>
      </w:tr>
      <w:tr w:rsidR="00414A95" w:rsidRPr="00414A95" w14:paraId="6DF5207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0EAE86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EE16F0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596E778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DEC513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5105 - Mobile Phones</w:t>
            </w:r>
          </w:p>
        </w:tc>
      </w:tr>
      <w:tr w:rsidR="00414A95" w:rsidRPr="00414A95" w14:paraId="2A40B23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FEA915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4D6FEB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16F778C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EE1DF4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5106 - Telephones (</w:t>
            </w:r>
            <w:proofErr w:type="spellStart"/>
            <w:r w:rsidRPr="00414A95">
              <w:rPr>
                <w:rFonts w:ascii="Calibri" w:eastAsia="Times New Roman" w:hAnsi="Calibri" w:cs="Calibri"/>
                <w:color w:val="000000"/>
                <w:sz w:val="20"/>
                <w:szCs w:val="20"/>
                <w:lang w:eastAsia="en-GB"/>
              </w:rPr>
              <w:t>incs</w:t>
            </w:r>
            <w:proofErr w:type="spellEnd"/>
            <w:r w:rsidRPr="00414A95">
              <w:rPr>
                <w:rFonts w:ascii="Calibri" w:eastAsia="Times New Roman" w:hAnsi="Calibri" w:cs="Calibri"/>
                <w:color w:val="000000"/>
                <w:sz w:val="20"/>
                <w:szCs w:val="20"/>
                <w:lang w:eastAsia="en-GB"/>
              </w:rPr>
              <w:t xml:space="preserve"> mobiles)</w:t>
            </w:r>
          </w:p>
        </w:tc>
      </w:tr>
      <w:tr w:rsidR="00414A95" w:rsidRPr="00414A95" w14:paraId="79B6CF8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F00C92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C30F43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6D14E9A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65443B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5107 - Internet Charges</w:t>
            </w:r>
          </w:p>
        </w:tc>
      </w:tr>
      <w:tr w:rsidR="00414A95" w:rsidRPr="00414A95" w14:paraId="50995720"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5440DC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ED2BF0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5F6462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3ED45B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5110 - Advertising</w:t>
            </w:r>
          </w:p>
        </w:tc>
      </w:tr>
      <w:tr w:rsidR="00414A95" w:rsidRPr="00414A95" w14:paraId="0A07064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5B03CF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51ECCF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9AA947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00DBC8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5115 - Postage</w:t>
            </w:r>
          </w:p>
        </w:tc>
      </w:tr>
      <w:tr w:rsidR="00414A95" w:rsidRPr="00414A95" w14:paraId="39A06CBF"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A87925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E065D0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652B1F8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42650C9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5120 - Photocopying / Printing - Admin</w:t>
            </w:r>
          </w:p>
        </w:tc>
      </w:tr>
      <w:tr w:rsidR="00414A95" w:rsidRPr="00414A95" w14:paraId="0F13E217"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A78B33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37FA73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33F7E5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5DFA04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5121 - Leases - </w:t>
            </w:r>
            <w:proofErr w:type="gramStart"/>
            <w:r w:rsidRPr="00414A95">
              <w:rPr>
                <w:rFonts w:ascii="Calibri" w:eastAsia="Times New Roman" w:hAnsi="Calibri" w:cs="Calibri"/>
                <w:color w:val="000000"/>
                <w:sz w:val="20"/>
                <w:szCs w:val="20"/>
                <w:lang w:eastAsia="en-GB"/>
              </w:rPr>
              <w:t>Non Educational</w:t>
            </w:r>
            <w:proofErr w:type="gramEnd"/>
          </w:p>
        </w:tc>
      </w:tr>
      <w:tr w:rsidR="00414A95" w:rsidRPr="00414A95" w14:paraId="5D7B9108"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8D5453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8CD96B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21CB43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23B717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5125 - Subscriptions - Admin</w:t>
            </w:r>
          </w:p>
        </w:tc>
      </w:tr>
      <w:tr w:rsidR="00414A95" w:rsidRPr="00414A95" w14:paraId="2AD48059"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877CB5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6C127A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4B1B9B2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D1BB3F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5130 - Stationery - Admin</w:t>
            </w:r>
          </w:p>
        </w:tc>
      </w:tr>
      <w:tr w:rsidR="00414A95" w:rsidRPr="00414A95" w14:paraId="1058D166"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354C99F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6BC7FF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1884EBC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E56507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5135 - IT Support Services</w:t>
            </w:r>
          </w:p>
        </w:tc>
      </w:tr>
      <w:tr w:rsidR="00414A95" w:rsidRPr="00414A95" w14:paraId="45EA0D70"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3A66016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651CED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B7843C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FCCFBF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5155 - Bank Charges</w:t>
            </w:r>
          </w:p>
        </w:tc>
      </w:tr>
      <w:tr w:rsidR="00414A95" w:rsidRPr="00414A95" w14:paraId="5A45E7BD"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3F12671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008C7C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2BE5C80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937BC7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5156 - </w:t>
            </w:r>
            <w:proofErr w:type="spellStart"/>
            <w:r w:rsidRPr="00414A95">
              <w:rPr>
                <w:rFonts w:ascii="Calibri" w:eastAsia="Times New Roman" w:hAnsi="Calibri" w:cs="Calibri"/>
                <w:color w:val="000000"/>
                <w:sz w:val="20"/>
                <w:szCs w:val="20"/>
                <w:lang w:eastAsia="en-GB"/>
              </w:rPr>
              <w:t>Parentpay</w:t>
            </w:r>
            <w:proofErr w:type="spellEnd"/>
            <w:r w:rsidRPr="00414A95">
              <w:rPr>
                <w:rFonts w:ascii="Calibri" w:eastAsia="Times New Roman" w:hAnsi="Calibri" w:cs="Calibri"/>
                <w:color w:val="000000"/>
                <w:sz w:val="20"/>
                <w:szCs w:val="20"/>
                <w:lang w:eastAsia="en-GB"/>
              </w:rPr>
              <w:t xml:space="preserve"> fees</w:t>
            </w:r>
          </w:p>
        </w:tc>
      </w:tr>
      <w:tr w:rsidR="00414A95" w:rsidRPr="00414A95" w14:paraId="15B32ECF"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6D8149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A9A403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3A9E5EA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8A1793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5200 - Furniture/Equipment</w:t>
            </w:r>
          </w:p>
        </w:tc>
      </w:tr>
      <w:tr w:rsidR="00414A95" w:rsidRPr="00414A95" w14:paraId="3F99A7A3"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617852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F5C0DB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298742E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451E89C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5300 - IT Equipment - Non-Educational</w:t>
            </w:r>
          </w:p>
        </w:tc>
      </w:tr>
      <w:tr w:rsidR="00414A95" w:rsidRPr="00414A95" w14:paraId="2F08B5C6"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4C0DF1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63B957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66E2498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22BA29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5305 - IT Consumables - Non-Educational</w:t>
            </w:r>
          </w:p>
        </w:tc>
      </w:tr>
      <w:tr w:rsidR="00414A95" w:rsidRPr="00414A95" w14:paraId="2EEDC13C"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C3234A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D1A248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5EF8750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CADB46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5310 - IT Licensing</w:t>
            </w:r>
          </w:p>
        </w:tc>
      </w:tr>
      <w:tr w:rsidR="00414A95" w:rsidRPr="00414A95" w14:paraId="48C06756"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21AE61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CFA3BF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76DBB91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657937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5400 - Out of hours </w:t>
            </w:r>
            <w:proofErr w:type="gramStart"/>
            <w:r w:rsidRPr="00414A95">
              <w:rPr>
                <w:rFonts w:ascii="Calibri" w:eastAsia="Times New Roman" w:hAnsi="Calibri" w:cs="Calibri"/>
                <w:color w:val="000000"/>
                <w:sz w:val="20"/>
                <w:szCs w:val="20"/>
                <w:lang w:eastAsia="en-GB"/>
              </w:rPr>
              <w:t>clubs</w:t>
            </w:r>
            <w:proofErr w:type="gramEnd"/>
            <w:r w:rsidRPr="00414A95">
              <w:rPr>
                <w:rFonts w:ascii="Calibri" w:eastAsia="Times New Roman" w:hAnsi="Calibri" w:cs="Calibri"/>
                <w:color w:val="000000"/>
                <w:sz w:val="20"/>
                <w:szCs w:val="20"/>
                <w:lang w:eastAsia="en-GB"/>
              </w:rPr>
              <w:t xml:space="preserve"> food</w:t>
            </w:r>
          </w:p>
        </w:tc>
      </w:tr>
      <w:tr w:rsidR="00414A95" w:rsidRPr="00414A95" w14:paraId="130521DA"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8492FC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ABB91F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18DC211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4FEEB0E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5403 - Out of hours clubs - </w:t>
            </w:r>
            <w:proofErr w:type="spellStart"/>
            <w:r w:rsidRPr="00414A95">
              <w:rPr>
                <w:rFonts w:ascii="Calibri" w:eastAsia="Times New Roman" w:hAnsi="Calibri" w:cs="Calibri"/>
                <w:color w:val="000000"/>
                <w:sz w:val="20"/>
                <w:szCs w:val="20"/>
                <w:lang w:eastAsia="en-GB"/>
              </w:rPr>
              <w:t>Parentpay</w:t>
            </w:r>
            <w:proofErr w:type="spellEnd"/>
            <w:r w:rsidRPr="00414A95">
              <w:rPr>
                <w:rFonts w:ascii="Calibri" w:eastAsia="Times New Roman" w:hAnsi="Calibri" w:cs="Calibri"/>
                <w:color w:val="000000"/>
                <w:sz w:val="20"/>
                <w:szCs w:val="20"/>
                <w:lang w:eastAsia="en-GB"/>
              </w:rPr>
              <w:t xml:space="preserve"> fees</w:t>
            </w:r>
          </w:p>
        </w:tc>
      </w:tr>
      <w:tr w:rsidR="00414A95" w:rsidRPr="00414A95" w14:paraId="5CB9A3E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6F067C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0FCB523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auto"/>
              <w:right w:val="single" w:sz="4" w:space="0" w:color="auto"/>
            </w:tcBorders>
            <w:shd w:val="clear" w:color="auto" w:fill="auto"/>
            <w:noWrap/>
            <w:hideMark/>
          </w:tcPr>
          <w:p w14:paraId="061D853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E23</w:t>
            </w:r>
          </w:p>
        </w:tc>
        <w:tc>
          <w:tcPr>
            <w:tcW w:w="4180" w:type="dxa"/>
            <w:tcBorders>
              <w:top w:val="nil"/>
              <w:left w:val="nil"/>
              <w:bottom w:val="single" w:sz="4" w:space="0" w:color="auto"/>
              <w:right w:val="single" w:sz="4" w:space="0" w:color="auto"/>
            </w:tcBorders>
            <w:shd w:val="clear" w:color="auto" w:fill="auto"/>
            <w:noWrap/>
            <w:vAlign w:val="center"/>
            <w:hideMark/>
          </w:tcPr>
          <w:p w14:paraId="358C26C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3260 - Insurance</w:t>
            </w:r>
          </w:p>
        </w:tc>
      </w:tr>
      <w:tr w:rsidR="00414A95" w:rsidRPr="00414A95" w14:paraId="366A5C6B"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8D17A1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7745551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39DD340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622F6F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5402 - Out of hours </w:t>
            </w:r>
            <w:proofErr w:type="gramStart"/>
            <w:r w:rsidRPr="00414A95">
              <w:rPr>
                <w:rFonts w:ascii="Calibri" w:eastAsia="Times New Roman" w:hAnsi="Calibri" w:cs="Calibri"/>
                <w:color w:val="000000"/>
                <w:sz w:val="20"/>
                <w:szCs w:val="20"/>
                <w:lang w:eastAsia="en-GB"/>
              </w:rPr>
              <w:t>clubs</w:t>
            </w:r>
            <w:proofErr w:type="gramEnd"/>
            <w:r w:rsidRPr="00414A95">
              <w:rPr>
                <w:rFonts w:ascii="Calibri" w:eastAsia="Times New Roman" w:hAnsi="Calibri" w:cs="Calibri"/>
                <w:color w:val="000000"/>
                <w:sz w:val="20"/>
                <w:szCs w:val="20"/>
                <w:lang w:eastAsia="en-GB"/>
              </w:rPr>
              <w:t xml:space="preserve"> resources</w:t>
            </w:r>
          </w:p>
        </w:tc>
      </w:tr>
      <w:tr w:rsidR="00414A95" w:rsidRPr="00414A95" w14:paraId="5CEE863C"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9684F5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1B76CC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auto"/>
              <w:right w:val="single" w:sz="4" w:space="0" w:color="auto"/>
            </w:tcBorders>
            <w:shd w:val="clear" w:color="auto" w:fill="auto"/>
            <w:noWrap/>
            <w:hideMark/>
          </w:tcPr>
          <w:p w14:paraId="14D406E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E25</w:t>
            </w:r>
          </w:p>
        </w:tc>
        <w:tc>
          <w:tcPr>
            <w:tcW w:w="4180" w:type="dxa"/>
            <w:tcBorders>
              <w:top w:val="nil"/>
              <w:left w:val="nil"/>
              <w:bottom w:val="single" w:sz="4" w:space="0" w:color="auto"/>
              <w:right w:val="single" w:sz="4" w:space="0" w:color="auto"/>
            </w:tcBorders>
            <w:shd w:val="clear" w:color="auto" w:fill="auto"/>
            <w:noWrap/>
            <w:vAlign w:val="center"/>
            <w:hideMark/>
          </w:tcPr>
          <w:p w14:paraId="251976C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4007 - Pupil paid meals</w:t>
            </w:r>
          </w:p>
        </w:tc>
      </w:tr>
      <w:tr w:rsidR="00414A95" w:rsidRPr="00414A95" w14:paraId="63F93758"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45A092C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C2A994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494633B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253B034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4008 - Pupil FSM (UIFSM &amp; KS2)</w:t>
            </w:r>
          </w:p>
        </w:tc>
      </w:tr>
      <w:tr w:rsidR="00414A95" w:rsidRPr="00414A95" w14:paraId="435A2476"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ACD1D8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59F2E03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558FA65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02EC6E8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4009 - Adult meals</w:t>
            </w:r>
          </w:p>
        </w:tc>
      </w:tr>
      <w:tr w:rsidR="00414A95" w:rsidRPr="00414A95" w14:paraId="00A02CAC"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435ABC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4A0B7A6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3564D47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837681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5000 - Catering Food/Drink</w:t>
            </w:r>
          </w:p>
        </w:tc>
      </w:tr>
      <w:tr w:rsidR="00414A95" w:rsidRPr="00414A95" w14:paraId="6CD38FE9"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BDE638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D9D0FD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4D76136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45D3E3B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5005 - Catering Maintenance &amp; Repairs</w:t>
            </w:r>
          </w:p>
        </w:tc>
      </w:tr>
      <w:tr w:rsidR="00414A95" w:rsidRPr="00414A95" w14:paraId="3A1410B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B44D2D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6A59128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76282353"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7CE00B0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5010 - Catering Equipment</w:t>
            </w:r>
          </w:p>
        </w:tc>
      </w:tr>
      <w:tr w:rsidR="00414A95" w:rsidRPr="00414A95" w14:paraId="065B3007"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ED1279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8E8F57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auto"/>
              <w:right w:val="single" w:sz="4" w:space="0" w:color="auto"/>
            </w:tcBorders>
            <w:vAlign w:val="center"/>
            <w:hideMark/>
          </w:tcPr>
          <w:p w14:paraId="0C1EC59B"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38F953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5015 - Catering Consumables</w:t>
            </w:r>
          </w:p>
        </w:tc>
      </w:tr>
      <w:tr w:rsidR="00414A95" w:rsidRPr="00414A95" w14:paraId="65C991F2"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734E2AF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8D46A2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val="restart"/>
            <w:tcBorders>
              <w:top w:val="nil"/>
              <w:left w:val="single" w:sz="4" w:space="0" w:color="auto"/>
              <w:bottom w:val="single" w:sz="4" w:space="0" w:color="000000"/>
              <w:right w:val="single" w:sz="4" w:space="0" w:color="auto"/>
            </w:tcBorders>
            <w:shd w:val="clear" w:color="auto" w:fill="auto"/>
            <w:noWrap/>
            <w:hideMark/>
          </w:tcPr>
          <w:p w14:paraId="27F93B3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E27</w:t>
            </w:r>
          </w:p>
        </w:tc>
        <w:tc>
          <w:tcPr>
            <w:tcW w:w="4180" w:type="dxa"/>
            <w:tcBorders>
              <w:top w:val="nil"/>
              <w:left w:val="nil"/>
              <w:bottom w:val="single" w:sz="4" w:space="0" w:color="auto"/>
              <w:right w:val="single" w:sz="4" w:space="0" w:color="auto"/>
            </w:tcBorders>
            <w:shd w:val="clear" w:color="auto" w:fill="auto"/>
            <w:noWrap/>
            <w:vAlign w:val="center"/>
            <w:hideMark/>
          </w:tcPr>
          <w:p w14:paraId="1F60F5F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2805 - Agency Supply Cover - Support</w:t>
            </w:r>
          </w:p>
        </w:tc>
      </w:tr>
      <w:tr w:rsidR="00414A95" w:rsidRPr="00414A95" w14:paraId="03082461"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00F0E31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44555C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62F7A9E0"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23CD6C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5140 - Professional Services - </w:t>
            </w:r>
            <w:proofErr w:type="gramStart"/>
            <w:r w:rsidRPr="00414A95">
              <w:rPr>
                <w:rFonts w:ascii="Calibri" w:eastAsia="Times New Roman" w:hAnsi="Calibri" w:cs="Calibri"/>
                <w:color w:val="000000"/>
                <w:sz w:val="20"/>
                <w:szCs w:val="20"/>
                <w:lang w:eastAsia="en-GB"/>
              </w:rPr>
              <w:t>Non Educational</w:t>
            </w:r>
            <w:proofErr w:type="gramEnd"/>
          </w:p>
        </w:tc>
      </w:tr>
      <w:tr w:rsidR="00414A95" w:rsidRPr="00414A95" w14:paraId="11BED906"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A68446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3D15E35D"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0BC0487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6AA9DE3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 xml:space="preserve">5150 - Accountancy Services - </w:t>
            </w:r>
            <w:proofErr w:type="gramStart"/>
            <w:r w:rsidRPr="00414A95">
              <w:rPr>
                <w:rFonts w:ascii="Calibri" w:eastAsia="Times New Roman" w:hAnsi="Calibri" w:cs="Calibri"/>
                <w:color w:val="000000"/>
                <w:sz w:val="20"/>
                <w:szCs w:val="20"/>
                <w:lang w:eastAsia="en-GB"/>
              </w:rPr>
              <w:t>Non Audit</w:t>
            </w:r>
            <w:proofErr w:type="gramEnd"/>
          </w:p>
        </w:tc>
      </w:tr>
      <w:tr w:rsidR="00414A95" w:rsidRPr="00414A95" w14:paraId="5E14C77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6198640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E41C71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2C7EBA4F"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4BE2817"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5151 - Audit Costs</w:t>
            </w:r>
          </w:p>
        </w:tc>
      </w:tr>
      <w:tr w:rsidR="00414A95" w:rsidRPr="00414A95" w14:paraId="1A8CB147"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5E34A9D2"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563C0B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7EE52E1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3926A4CA"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5160 - Music Services Costs</w:t>
            </w:r>
          </w:p>
        </w:tc>
      </w:tr>
      <w:tr w:rsidR="00414A95" w:rsidRPr="00414A95" w14:paraId="3496F135"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2279A6BE"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2FFE9879"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552C1E71"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1898AFA4"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5165 - Head Office Recharge</w:t>
            </w:r>
          </w:p>
        </w:tc>
      </w:tr>
      <w:tr w:rsidR="00414A95" w:rsidRPr="00414A95" w14:paraId="7C18DE0D" w14:textId="77777777" w:rsidTr="00414A95">
        <w:trPr>
          <w:trHeight w:val="255"/>
        </w:trPr>
        <w:tc>
          <w:tcPr>
            <w:tcW w:w="2840" w:type="dxa"/>
            <w:vMerge/>
            <w:tcBorders>
              <w:top w:val="nil"/>
              <w:left w:val="single" w:sz="4" w:space="0" w:color="auto"/>
              <w:bottom w:val="single" w:sz="4" w:space="0" w:color="000000"/>
              <w:right w:val="single" w:sz="4" w:space="0" w:color="auto"/>
            </w:tcBorders>
            <w:vAlign w:val="center"/>
            <w:hideMark/>
          </w:tcPr>
          <w:p w14:paraId="1DB054CC"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1300" w:type="dxa"/>
            <w:vMerge/>
            <w:tcBorders>
              <w:top w:val="nil"/>
              <w:left w:val="single" w:sz="4" w:space="0" w:color="auto"/>
              <w:bottom w:val="single" w:sz="4" w:space="0" w:color="000000"/>
              <w:right w:val="single" w:sz="4" w:space="0" w:color="auto"/>
            </w:tcBorders>
            <w:vAlign w:val="center"/>
            <w:hideMark/>
          </w:tcPr>
          <w:p w14:paraId="10B1E816"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880" w:type="dxa"/>
            <w:vMerge/>
            <w:tcBorders>
              <w:top w:val="nil"/>
              <w:left w:val="single" w:sz="4" w:space="0" w:color="auto"/>
              <w:bottom w:val="single" w:sz="4" w:space="0" w:color="000000"/>
              <w:right w:val="single" w:sz="4" w:space="0" w:color="auto"/>
            </w:tcBorders>
            <w:vAlign w:val="center"/>
            <w:hideMark/>
          </w:tcPr>
          <w:p w14:paraId="14213C88"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p>
        </w:tc>
        <w:tc>
          <w:tcPr>
            <w:tcW w:w="4180" w:type="dxa"/>
            <w:tcBorders>
              <w:top w:val="nil"/>
              <w:left w:val="nil"/>
              <w:bottom w:val="single" w:sz="4" w:space="0" w:color="auto"/>
              <w:right w:val="single" w:sz="4" w:space="0" w:color="auto"/>
            </w:tcBorders>
            <w:shd w:val="clear" w:color="auto" w:fill="auto"/>
            <w:noWrap/>
            <w:vAlign w:val="center"/>
            <w:hideMark/>
          </w:tcPr>
          <w:p w14:paraId="5A1BEB25" w14:textId="77777777" w:rsidR="00414A95" w:rsidRPr="00414A95" w:rsidRDefault="00414A95" w:rsidP="00414A95">
            <w:pPr>
              <w:spacing w:after="0" w:line="240" w:lineRule="auto"/>
              <w:rPr>
                <w:rFonts w:ascii="Calibri" w:eastAsia="Times New Roman" w:hAnsi="Calibri" w:cs="Calibri"/>
                <w:color w:val="000000"/>
                <w:sz w:val="20"/>
                <w:szCs w:val="20"/>
                <w:lang w:eastAsia="en-GB"/>
              </w:rPr>
            </w:pPr>
            <w:r w:rsidRPr="00414A95">
              <w:rPr>
                <w:rFonts w:ascii="Calibri" w:eastAsia="Times New Roman" w:hAnsi="Calibri" w:cs="Calibri"/>
                <w:color w:val="000000"/>
                <w:sz w:val="20"/>
                <w:szCs w:val="20"/>
                <w:lang w:eastAsia="en-GB"/>
              </w:rPr>
              <w:t>5166 - Head Office Expense - recharged services</w:t>
            </w:r>
          </w:p>
        </w:tc>
      </w:tr>
    </w:tbl>
    <w:p w14:paraId="52E78D17" w14:textId="77777777" w:rsidR="00EF5C4C" w:rsidRDefault="00EF5C4C" w:rsidP="008D3968">
      <w:pPr>
        <w:shd w:val="clear" w:color="auto" w:fill="FFFFFF"/>
        <w:spacing w:before="300" w:after="300" w:line="240" w:lineRule="auto"/>
        <w:textAlignment w:val="baseline"/>
        <w:rPr>
          <w:rFonts w:ascii="Trebuchet MS" w:eastAsia="Times New Roman" w:hAnsi="Trebuchet MS" w:cs="Arial"/>
          <w:color w:val="0B0C0C"/>
          <w:lang w:eastAsia="en-GB"/>
        </w:rPr>
      </w:pPr>
    </w:p>
    <w:p w14:paraId="7E4059F3" w14:textId="77777777" w:rsidR="009E5295"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8D3968">
        <w:rPr>
          <w:rFonts w:ascii="Trebuchet MS" w:eastAsia="Times New Roman" w:hAnsi="Trebuchet MS" w:cs="Arial"/>
          <w:color w:val="0B0C0C"/>
          <w:lang w:eastAsia="en-GB"/>
        </w:rPr>
        <w:t>Th</w:t>
      </w:r>
      <w:r w:rsidR="00C437C3">
        <w:rPr>
          <w:rFonts w:ascii="Trebuchet MS" w:eastAsia="Times New Roman" w:hAnsi="Trebuchet MS" w:cs="Arial"/>
          <w:color w:val="0B0C0C"/>
          <w:lang w:eastAsia="en-GB"/>
        </w:rPr>
        <w:t>e</w:t>
      </w:r>
      <w:r w:rsidRPr="008D3968">
        <w:rPr>
          <w:rFonts w:ascii="Trebuchet MS" w:eastAsia="Times New Roman" w:hAnsi="Trebuchet MS" w:cs="Arial"/>
          <w:color w:val="0B0C0C"/>
          <w:lang w:eastAsia="en-GB"/>
        </w:rPr>
        <w:t xml:space="preserve"> guidance </w:t>
      </w:r>
      <w:r w:rsidR="0061103A">
        <w:rPr>
          <w:rFonts w:ascii="Trebuchet MS" w:eastAsia="Times New Roman" w:hAnsi="Trebuchet MS" w:cs="Arial"/>
          <w:color w:val="0B0C0C"/>
          <w:lang w:eastAsia="en-GB"/>
        </w:rPr>
        <w:t>below</w:t>
      </w:r>
      <w:r w:rsidR="00C437C3">
        <w:rPr>
          <w:rFonts w:ascii="Trebuchet MS" w:eastAsia="Times New Roman" w:hAnsi="Trebuchet MS" w:cs="Arial"/>
          <w:color w:val="0B0C0C"/>
          <w:lang w:eastAsia="en-GB"/>
        </w:rPr>
        <w:t xml:space="preserve"> </w:t>
      </w:r>
      <w:r w:rsidRPr="008D3968">
        <w:rPr>
          <w:rFonts w:ascii="Trebuchet MS" w:eastAsia="Times New Roman" w:hAnsi="Trebuchet MS" w:cs="Arial"/>
          <w:color w:val="0B0C0C"/>
          <w:lang w:eastAsia="en-GB"/>
        </w:rPr>
        <w:t xml:space="preserve">provides </w:t>
      </w:r>
      <w:r w:rsidR="00C437C3">
        <w:rPr>
          <w:rFonts w:ascii="Trebuchet MS" w:eastAsia="Times New Roman" w:hAnsi="Trebuchet MS" w:cs="Arial"/>
          <w:color w:val="0B0C0C"/>
          <w:lang w:eastAsia="en-GB"/>
        </w:rPr>
        <w:t xml:space="preserve">a </w:t>
      </w:r>
      <w:r w:rsidRPr="008D3968">
        <w:rPr>
          <w:rFonts w:ascii="Trebuchet MS" w:eastAsia="Times New Roman" w:hAnsi="Trebuchet MS" w:cs="Arial"/>
          <w:color w:val="0B0C0C"/>
          <w:lang w:eastAsia="en-GB"/>
        </w:rPr>
        <w:t xml:space="preserve">detailed explanation </w:t>
      </w:r>
      <w:r w:rsidR="00C437C3">
        <w:rPr>
          <w:rFonts w:ascii="Trebuchet MS" w:eastAsia="Times New Roman" w:hAnsi="Trebuchet MS" w:cs="Arial"/>
          <w:color w:val="0B0C0C"/>
          <w:lang w:eastAsia="en-GB"/>
        </w:rPr>
        <w:t xml:space="preserve">to help schools understand </w:t>
      </w:r>
      <w:r w:rsidR="00DE2E5D">
        <w:rPr>
          <w:rFonts w:ascii="Trebuchet MS" w:eastAsia="Times New Roman" w:hAnsi="Trebuchet MS" w:cs="Arial"/>
          <w:color w:val="0B0C0C"/>
          <w:lang w:eastAsia="en-GB"/>
        </w:rPr>
        <w:t xml:space="preserve">how data is added/calculated and </w:t>
      </w:r>
      <w:r w:rsidR="00C437C3">
        <w:rPr>
          <w:rFonts w:ascii="Trebuchet MS" w:eastAsia="Times New Roman" w:hAnsi="Trebuchet MS" w:cs="Arial"/>
          <w:color w:val="0B0C0C"/>
          <w:lang w:eastAsia="en-GB"/>
        </w:rPr>
        <w:t xml:space="preserve">how </w:t>
      </w:r>
      <w:r w:rsidR="009E5295">
        <w:rPr>
          <w:rFonts w:ascii="Trebuchet MS" w:eastAsia="Times New Roman" w:hAnsi="Trebuchet MS" w:cs="Arial"/>
          <w:color w:val="0B0C0C"/>
          <w:lang w:eastAsia="en-GB"/>
        </w:rPr>
        <w:t>you</w:t>
      </w:r>
      <w:r w:rsidR="00C437C3">
        <w:rPr>
          <w:rFonts w:ascii="Trebuchet MS" w:eastAsia="Times New Roman" w:hAnsi="Trebuchet MS" w:cs="Arial"/>
          <w:color w:val="0B0C0C"/>
          <w:lang w:eastAsia="en-GB"/>
        </w:rPr>
        <w:t xml:space="preserve"> can use the results from the dashboard</w:t>
      </w:r>
      <w:r w:rsidRPr="008D3968">
        <w:rPr>
          <w:rFonts w:ascii="Trebuchet MS" w:eastAsia="Times New Roman" w:hAnsi="Trebuchet MS" w:cs="Arial"/>
          <w:color w:val="0B0C0C"/>
          <w:lang w:eastAsia="en-GB"/>
        </w:rPr>
        <w:t>.</w:t>
      </w:r>
    </w:p>
    <w:p w14:paraId="70B6A5A4" w14:textId="05C7AFD3" w:rsidR="009E5295" w:rsidRPr="009E5295" w:rsidRDefault="008D3968" w:rsidP="008D3968">
      <w:pPr>
        <w:shd w:val="clear" w:color="auto" w:fill="FFFFFF"/>
        <w:spacing w:before="300" w:after="300" w:line="240" w:lineRule="auto"/>
        <w:textAlignment w:val="baseline"/>
        <w:rPr>
          <w:rFonts w:ascii="Trebuchet MS" w:eastAsia="Times New Roman" w:hAnsi="Trebuchet MS" w:cs="Arial"/>
          <w:b/>
          <w:bCs/>
          <w:color w:val="0B0C0C"/>
          <w:lang w:eastAsia="en-GB"/>
        </w:rPr>
      </w:pPr>
      <w:r w:rsidRPr="009E5295">
        <w:rPr>
          <w:rFonts w:ascii="Trebuchet MS" w:eastAsia="Times New Roman" w:hAnsi="Trebuchet MS" w:cs="Arial"/>
          <w:b/>
          <w:bCs/>
          <w:color w:val="0B0C0C"/>
          <w:lang w:eastAsia="en-GB"/>
        </w:rPr>
        <w:t>Using the results from the dashboard</w:t>
      </w:r>
    </w:p>
    <w:p w14:paraId="33BE9EB7" w14:textId="42166893"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The dashboard provides red, </w:t>
      </w:r>
      <w:proofErr w:type="gramStart"/>
      <w:r w:rsidRPr="002F3331">
        <w:rPr>
          <w:rFonts w:ascii="Trebuchet MS" w:eastAsia="Times New Roman" w:hAnsi="Trebuchet MS" w:cs="Arial"/>
          <w:color w:val="0B0C0C"/>
          <w:lang w:eastAsia="en-GB"/>
        </w:rPr>
        <w:t>amber</w:t>
      </w:r>
      <w:proofErr w:type="gramEnd"/>
      <w:r w:rsidRPr="002F3331">
        <w:rPr>
          <w:rFonts w:ascii="Trebuchet MS" w:eastAsia="Times New Roman" w:hAnsi="Trebuchet MS" w:cs="Arial"/>
          <w:color w:val="0B0C0C"/>
          <w:lang w:eastAsia="en-GB"/>
        </w:rPr>
        <w:t xml:space="preserve"> or green (RAG) ratings against a school’s data that indicates how its spend and characteristics compare with similar schools or nationally recognised bandings and recommendations:</w:t>
      </w:r>
    </w:p>
    <w:p w14:paraId="32DB9997" w14:textId="77777777" w:rsidR="008D3968" w:rsidRPr="002F3331" w:rsidRDefault="008D3968" w:rsidP="008D3968">
      <w:pPr>
        <w:numPr>
          <w:ilvl w:val="0"/>
          <w:numId w:val="1"/>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a red rating shows the school’s data is significantly out of line with schools with similar characteristics or recognised characteristics. It does not mean that there is definitely a problem, but that there may be scope for </w:t>
      </w:r>
      <w:proofErr w:type="gramStart"/>
      <w:r w:rsidRPr="002F3331">
        <w:rPr>
          <w:rFonts w:ascii="Trebuchet MS" w:eastAsia="Times New Roman" w:hAnsi="Trebuchet MS" w:cs="Arial"/>
          <w:color w:val="0B0C0C"/>
          <w:lang w:eastAsia="en-GB"/>
        </w:rPr>
        <w:t>change</w:t>
      </w:r>
      <w:proofErr w:type="gramEnd"/>
    </w:p>
    <w:p w14:paraId="2D9FF7CB" w14:textId="77777777" w:rsidR="008D3968" w:rsidRPr="002F3331" w:rsidRDefault="008D3968" w:rsidP="008D3968">
      <w:pPr>
        <w:numPr>
          <w:ilvl w:val="0"/>
          <w:numId w:val="1"/>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an amber rating shows that the school’s data is considerably out of line with the majority of similar schools or recognised </w:t>
      </w:r>
      <w:proofErr w:type="gramStart"/>
      <w:r w:rsidRPr="002F3331">
        <w:rPr>
          <w:rFonts w:ascii="Trebuchet MS" w:eastAsia="Times New Roman" w:hAnsi="Trebuchet MS" w:cs="Arial"/>
          <w:color w:val="0B0C0C"/>
          <w:lang w:eastAsia="en-GB"/>
        </w:rPr>
        <w:t>characteristics</w:t>
      </w:r>
      <w:proofErr w:type="gramEnd"/>
    </w:p>
    <w:p w14:paraId="6CF1FA97" w14:textId="77777777" w:rsidR="008D3968" w:rsidRPr="002F3331" w:rsidRDefault="008D3968" w:rsidP="008D3968">
      <w:pPr>
        <w:numPr>
          <w:ilvl w:val="0"/>
          <w:numId w:val="1"/>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a light green rating shows that the school’s data is in line with the majority of other schools or recognised standards - it does not necessarily mean that there is no scope for </w:t>
      </w:r>
      <w:proofErr w:type="gramStart"/>
      <w:r w:rsidRPr="002F3331">
        <w:rPr>
          <w:rFonts w:ascii="Trebuchet MS" w:eastAsia="Times New Roman" w:hAnsi="Trebuchet MS" w:cs="Arial"/>
          <w:color w:val="0B0C0C"/>
          <w:lang w:eastAsia="en-GB"/>
        </w:rPr>
        <w:t>change</w:t>
      </w:r>
      <w:proofErr w:type="gramEnd"/>
    </w:p>
    <w:p w14:paraId="1A275683" w14:textId="77777777" w:rsidR="008D3968" w:rsidRPr="002F3331" w:rsidRDefault="008D3968" w:rsidP="008D3968">
      <w:pPr>
        <w:numPr>
          <w:ilvl w:val="0"/>
          <w:numId w:val="1"/>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 dark green rating shows that the school’s data is close to the middle of similar schools or better than recognised standards. Not all indicators will generate a dark green rating</w:t>
      </w:r>
    </w:p>
    <w:p w14:paraId="722EA98B"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school should carefully consider the results for each indicator. For example:</w:t>
      </w:r>
    </w:p>
    <w:p w14:paraId="032B1E0E" w14:textId="77777777" w:rsidR="008D3968" w:rsidRPr="002F3331" w:rsidRDefault="008D3968" w:rsidP="008D3968">
      <w:pPr>
        <w:numPr>
          <w:ilvl w:val="0"/>
          <w:numId w:val="2"/>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why might the rating against the threshold be as it is?</w:t>
      </w:r>
    </w:p>
    <w:p w14:paraId="282CA992" w14:textId="77777777" w:rsidR="008D3968" w:rsidRPr="002F3331" w:rsidRDefault="008D3968" w:rsidP="008D3968">
      <w:pPr>
        <w:numPr>
          <w:ilvl w:val="0"/>
          <w:numId w:val="2"/>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if the school is an outlier, are there any follow-up actions – for example, further investigation or changes to be made?</w:t>
      </w:r>
    </w:p>
    <w:p w14:paraId="2C301374" w14:textId="77777777" w:rsidR="00833449" w:rsidRDefault="008D3968" w:rsidP="00833449">
      <w:pPr>
        <w:numPr>
          <w:ilvl w:val="0"/>
          <w:numId w:val="2"/>
        </w:numPr>
        <w:shd w:val="clear" w:color="auto" w:fill="FFFFFF"/>
        <w:spacing w:after="0"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if so, the </w:t>
      </w:r>
      <w:hyperlink r:id="rId18" w:history="1">
        <w:r w:rsidRPr="002F3331">
          <w:rPr>
            <w:rFonts w:ascii="Trebuchet MS" w:eastAsia="Times New Roman" w:hAnsi="Trebuchet MS" w:cs="Arial"/>
            <w:color w:val="1D70B8"/>
            <w:u w:val="single"/>
            <w:bdr w:val="none" w:sz="0" w:space="0" w:color="auto" w:frame="1"/>
            <w:lang w:eastAsia="en-GB"/>
          </w:rPr>
          <w:t>schools financial benchmarking service</w:t>
        </w:r>
      </w:hyperlink>
      <w:r w:rsidRPr="002F3331">
        <w:rPr>
          <w:rFonts w:ascii="Trebuchet MS" w:eastAsia="Times New Roman" w:hAnsi="Trebuchet MS" w:cs="Arial"/>
          <w:color w:val="0B0C0C"/>
          <w:lang w:eastAsia="en-GB"/>
        </w:rPr>
        <w:t> or </w:t>
      </w:r>
      <w:hyperlink r:id="rId19" w:history="1">
        <w:r w:rsidRPr="002F3331">
          <w:rPr>
            <w:rFonts w:ascii="Trebuchet MS" w:eastAsia="Times New Roman" w:hAnsi="Trebuchet MS" w:cs="Arial"/>
            <w:color w:val="1D70B8"/>
            <w:u w:val="single"/>
            <w:bdr w:val="none" w:sz="0" w:space="0" w:color="auto" w:frame="1"/>
            <w:lang w:eastAsia="en-GB"/>
          </w:rPr>
          <w:t>school performance service</w:t>
        </w:r>
      </w:hyperlink>
      <w:r w:rsidRPr="002F3331">
        <w:rPr>
          <w:rFonts w:ascii="Trebuchet MS" w:eastAsia="Times New Roman" w:hAnsi="Trebuchet MS" w:cs="Arial"/>
          <w:color w:val="0B0C0C"/>
          <w:lang w:eastAsia="en-GB"/>
        </w:rPr>
        <w:t> can be used to identify schools to contact and learn from</w:t>
      </w:r>
      <w:r w:rsidR="00C437C3">
        <w:rPr>
          <w:rFonts w:ascii="Trebuchet MS" w:eastAsia="Times New Roman" w:hAnsi="Trebuchet MS" w:cs="Arial"/>
          <w:color w:val="0B0C0C"/>
          <w:lang w:eastAsia="en-GB"/>
        </w:rPr>
        <w:t>.</w:t>
      </w:r>
    </w:p>
    <w:p w14:paraId="49DEE098" w14:textId="065B0C13" w:rsidR="00833449" w:rsidRDefault="00833449" w:rsidP="00833449">
      <w:pPr>
        <w:shd w:val="clear" w:color="auto" w:fill="FFFFFF"/>
        <w:spacing w:after="0" w:line="240" w:lineRule="auto"/>
        <w:ind w:left="1020"/>
        <w:textAlignment w:val="baseline"/>
        <w:rPr>
          <w:rFonts w:ascii="Trebuchet MS" w:eastAsia="Times New Roman" w:hAnsi="Trebuchet MS" w:cs="Arial"/>
          <w:color w:val="0B0C0C"/>
          <w:lang w:eastAsia="en-GB"/>
        </w:rPr>
      </w:pPr>
    </w:p>
    <w:p w14:paraId="6DEAFB1C" w14:textId="77777777" w:rsidR="00833449" w:rsidRDefault="00833449" w:rsidP="00833449">
      <w:pPr>
        <w:shd w:val="clear" w:color="auto" w:fill="FFFFFF"/>
        <w:spacing w:after="0" w:line="240" w:lineRule="auto"/>
        <w:ind w:left="1020"/>
        <w:textAlignment w:val="baseline"/>
        <w:rPr>
          <w:rFonts w:ascii="Trebuchet MS" w:eastAsia="Times New Roman" w:hAnsi="Trebuchet MS" w:cs="Arial"/>
          <w:color w:val="0B0C0C"/>
          <w:lang w:eastAsia="en-GB"/>
        </w:rPr>
      </w:pPr>
    </w:p>
    <w:p w14:paraId="25B60E6B" w14:textId="4B6702AF" w:rsidR="008D3968" w:rsidRPr="00833449" w:rsidRDefault="008D3968" w:rsidP="00833449">
      <w:pPr>
        <w:shd w:val="clear" w:color="auto" w:fill="FFFFFF"/>
        <w:spacing w:after="0" w:line="240" w:lineRule="auto"/>
        <w:textAlignment w:val="baseline"/>
        <w:rPr>
          <w:rFonts w:ascii="Trebuchet MS" w:eastAsia="Times New Roman" w:hAnsi="Trebuchet MS" w:cs="Arial"/>
          <w:color w:val="0B0C0C"/>
          <w:lang w:eastAsia="en-GB"/>
        </w:rPr>
      </w:pPr>
      <w:r w:rsidRPr="00833449">
        <w:rPr>
          <w:rFonts w:ascii="Trebuchet MS" w:eastAsia="Times New Roman" w:hAnsi="Trebuchet MS" w:cs="Arial"/>
          <w:b/>
          <w:bCs/>
          <w:color w:val="0B0C0C"/>
          <w:lang w:eastAsia="en-GB"/>
        </w:rPr>
        <w:t>A. Information about your school</w:t>
      </w:r>
    </w:p>
    <w:p w14:paraId="5453D5F1"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first section of the dashboard requires the school to input the:</w:t>
      </w:r>
    </w:p>
    <w:p w14:paraId="2F436BCC" w14:textId="77777777" w:rsidR="008D3968" w:rsidRPr="002F3331" w:rsidRDefault="008D3968" w:rsidP="008D3968">
      <w:pPr>
        <w:numPr>
          <w:ilvl w:val="0"/>
          <w:numId w:val="3"/>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name of the school</w:t>
      </w:r>
    </w:p>
    <w:p w14:paraId="488B4481" w14:textId="31744326" w:rsidR="008D3968" w:rsidRPr="002F3331" w:rsidRDefault="008D3968" w:rsidP="008D3968">
      <w:pPr>
        <w:numPr>
          <w:ilvl w:val="0"/>
          <w:numId w:val="3"/>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phase (from a drop</w:t>
      </w:r>
      <w:r w:rsidR="00143BE7">
        <w:rPr>
          <w:rFonts w:ascii="Trebuchet MS" w:eastAsia="Times New Roman" w:hAnsi="Trebuchet MS" w:cs="Arial"/>
          <w:color w:val="0B0C0C"/>
          <w:lang w:eastAsia="en-GB"/>
        </w:rPr>
        <w:t>-</w:t>
      </w:r>
      <w:r w:rsidRPr="002F3331">
        <w:rPr>
          <w:rFonts w:ascii="Trebuchet MS" w:eastAsia="Times New Roman" w:hAnsi="Trebuchet MS" w:cs="Arial"/>
          <w:color w:val="0B0C0C"/>
          <w:lang w:eastAsia="en-GB"/>
        </w:rPr>
        <w:t>down list)</w:t>
      </w:r>
    </w:p>
    <w:p w14:paraId="21CFE913" w14:textId="5843A59D" w:rsidR="008D3968" w:rsidRPr="002F3331" w:rsidRDefault="008D3968" w:rsidP="008D3968">
      <w:pPr>
        <w:numPr>
          <w:ilvl w:val="0"/>
          <w:numId w:val="3"/>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region in which the school is based (from a drop</w:t>
      </w:r>
      <w:r w:rsidR="00143BE7">
        <w:rPr>
          <w:rFonts w:ascii="Trebuchet MS" w:eastAsia="Times New Roman" w:hAnsi="Trebuchet MS" w:cs="Arial"/>
          <w:color w:val="0B0C0C"/>
          <w:lang w:eastAsia="en-GB"/>
        </w:rPr>
        <w:t>-</w:t>
      </w:r>
      <w:r w:rsidRPr="002F3331">
        <w:rPr>
          <w:rFonts w:ascii="Trebuchet MS" w:eastAsia="Times New Roman" w:hAnsi="Trebuchet MS" w:cs="Arial"/>
          <w:color w:val="0B0C0C"/>
          <w:lang w:eastAsia="en-GB"/>
        </w:rPr>
        <w:t>down list)</w:t>
      </w:r>
    </w:p>
    <w:p w14:paraId="402D3A12" w14:textId="77777777" w:rsidR="008D3968" w:rsidRPr="002F3331" w:rsidRDefault="008D3968" w:rsidP="008D3968">
      <w:pPr>
        <w:numPr>
          <w:ilvl w:val="0"/>
          <w:numId w:val="3"/>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number of pupils in the school</w:t>
      </w:r>
    </w:p>
    <w:p w14:paraId="221998E9" w14:textId="77777777" w:rsidR="008D3968" w:rsidRPr="002F3331" w:rsidRDefault="008D3968" w:rsidP="008D3968">
      <w:pPr>
        <w:numPr>
          <w:ilvl w:val="0"/>
          <w:numId w:val="3"/>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percentage of pupils eligible for free school meals (FSM) in the current year</w:t>
      </w:r>
    </w:p>
    <w:p w14:paraId="4B0BEA5A" w14:textId="368190D3" w:rsidR="008D3968" w:rsidRPr="002F3331" w:rsidRDefault="008D3968" w:rsidP="008D3968">
      <w:pPr>
        <w:numPr>
          <w:ilvl w:val="0"/>
          <w:numId w:val="3"/>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year you are entering data for (from a drop</w:t>
      </w:r>
      <w:r w:rsidR="00143BE7">
        <w:rPr>
          <w:rFonts w:ascii="Trebuchet MS" w:eastAsia="Times New Roman" w:hAnsi="Trebuchet MS" w:cs="Arial"/>
          <w:color w:val="0B0C0C"/>
          <w:lang w:eastAsia="en-GB"/>
        </w:rPr>
        <w:t>-</w:t>
      </w:r>
      <w:r w:rsidRPr="002F3331">
        <w:rPr>
          <w:rFonts w:ascii="Trebuchet MS" w:eastAsia="Times New Roman" w:hAnsi="Trebuchet MS" w:cs="Arial"/>
          <w:color w:val="0B0C0C"/>
          <w:lang w:eastAsia="en-GB"/>
        </w:rPr>
        <w:t>down list)</w:t>
      </w:r>
    </w:p>
    <w:p w14:paraId="232A5205"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This information is used to ensure the school is being compared with similar schools, for example those in the same phase and with a similar number of pupils and FSM rates.</w:t>
      </w:r>
    </w:p>
    <w:p w14:paraId="29993CB2" w14:textId="77777777" w:rsidR="008D3968" w:rsidRPr="002F3331" w:rsidRDefault="008D3968" w:rsidP="00833449">
      <w:pPr>
        <w:shd w:val="clear" w:color="auto" w:fill="FFFFFF"/>
        <w:spacing w:after="0" w:line="240" w:lineRule="auto"/>
        <w:textAlignment w:val="baseline"/>
        <w:outlineLvl w:val="1"/>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lastRenderedPageBreak/>
        <w:t xml:space="preserve">B. </w:t>
      </w:r>
      <w:proofErr w:type="gramStart"/>
      <w:r w:rsidRPr="002F3331">
        <w:rPr>
          <w:rFonts w:ascii="Trebuchet MS" w:eastAsia="Times New Roman" w:hAnsi="Trebuchet MS" w:cs="Arial"/>
          <w:b/>
          <w:bCs/>
          <w:color w:val="0B0C0C"/>
          <w:lang w:eastAsia="en-GB"/>
        </w:rPr>
        <w:t>Your</w:t>
      </w:r>
      <w:proofErr w:type="gramEnd"/>
      <w:r w:rsidRPr="002F3331">
        <w:rPr>
          <w:rFonts w:ascii="Trebuchet MS" w:eastAsia="Times New Roman" w:hAnsi="Trebuchet MS" w:cs="Arial"/>
          <w:b/>
          <w:bCs/>
          <w:color w:val="0B0C0C"/>
          <w:lang w:eastAsia="en-GB"/>
        </w:rPr>
        <w:t xml:space="preserve"> spending as a percentage of total expenditure</w:t>
      </w:r>
    </w:p>
    <w:p w14:paraId="720BDD45" w14:textId="77777777" w:rsidR="00833449" w:rsidRDefault="00833449" w:rsidP="00833449">
      <w:pPr>
        <w:shd w:val="clear" w:color="auto" w:fill="FFFFFF"/>
        <w:spacing w:after="0" w:line="240" w:lineRule="auto"/>
        <w:textAlignment w:val="baseline"/>
        <w:outlineLvl w:val="2"/>
        <w:rPr>
          <w:rFonts w:ascii="Trebuchet MS" w:eastAsia="Times New Roman" w:hAnsi="Trebuchet MS" w:cs="Arial"/>
          <w:b/>
          <w:bCs/>
          <w:color w:val="0B0C0C"/>
          <w:lang w:eastAsia="en-GB"/>
        </w:rPr>
      </w:pPr>
    </w:p>
    <w:p w14:paraId="76BA38F3" w14:textId="019FFF25" w:rsidR="008D3968" w:rsidRPr="002F3331" w:rsidRDefault="008D3968" w:rsidP="00833449">
      <w:pPr>
        <w:shd w:val="clear" w:color="auto" w:fill="FFFFFF"/>
        <w:spacing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Spend on teaching staff as a percentage of total expenditure</w:t>
      </w:r>
    </w:p>
    <w:p w14:paraId="6127BCA2"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teaching staff typically takes up the largest proportion of a school’s overall spending.</w:t>
      </w:r>
    </w:p>
    <w:p w14:paraId="4C7C8484"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they spend significantly less or more of their budget on teaching staff than other schools.</w:t>
      </w:r>
    </w:p>
    <w:p w14:paraId="5FF4AAD8"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484B1A14" w14:textId="77777777" w:rsidR="008D3968" w:rsidRPr="002F3331" w:rsidRDefault="008D3968" w:rsidP="00833449">
      <w:pPr>
        <w:shd w:val="clear" w:color="auto" w:fill="FFFFFF"/>
        <w:spacing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0434438A"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Spend on teaching staff as a percentage of total expenditure = (spend on teaching staff [E1] ÷ total expenditure) × 100%</w:t>
      </w:r>
    </w:p>
    <w:p w14:paraId="640FC98A"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teaching staff includes the salaries and wages (including allowances, maternity pay, employer’s contributions to National Insurance, and teacher’s pensions) of permanent teaching staff.</w:t>
      </w:r>
    </w:p>
    <w:p w14:paraId="4CB3AD1E"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It excludes teachers employed casually and directly. For </w:t>
      </w:r>
      <w:proofErr w:type="gramStart"/>
      <w:r w:rsidRPr="002F3331">
        <w:rPr>
          <w:rFonts w:ascii="Trebuchet MS" w:eastAsia="Times New Roman" w:hAnsi="Trebuchet MS" w:cs="Arial"/>
          <w:color w:val="0B0C0C"/>
          <w:lang w:eastAsia="en-GB"/>
        </w:rPr>
        <w:t>example</w:t>
      </w:r>
      <w:proofErr w:type="gramEnd"/>
      <w:r w:rsidRPr="002F3331">
        <w:rPr>
          <w:rFonts w:ascii="Trebuchet MS" w:eastAsia="Times New Roman" w:hAnsi="Trebuchet MS" w:cs="Arial"/>
          <w:color w:val="0B0C0C"/>
          <w:lang w:eastAsia="en-GB"/>
        </w:rPr>
        <w:t xml:space="preserve"> supply teachers, and any teacher not employed directly by the school, such as agency staff.</w:t>
      </w:r>
    </w:p>
    <w:p w14:paraId="240526A6"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spend among similar schools.</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0BCB7E5C"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74A8847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7FEEEB72"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258316F0"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8BB525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65526895"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6877A2A9"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113C3D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E4DC47C"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32F8D16D"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0A8108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Middle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A8ECA6E"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r w:rsidR="008D3968" w:rsidRPr="002F3331" w14:paraId="268B1FF4"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E8718EB"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6FD3AC6F"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42559068"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Spend on supply staff as a percentage of total expenditure</w:t>
      </w:r>
    </w:p>
    <w:p w14:paraId="6791CB88"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they spend significantly more of their budget on supply staff than other schools.</w:t>
      </w:r>
    </w:p>
    <w:p w14:paraId="5F3A13DF"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52192854"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2A2D01F2"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lastRenderedPageBreak/>
        <w:t>Spend on supply staff as a percentage of total expenditure = (spend on (supply staff [E2] + supply teacher insurance [E10] + agency supply teaching staff [E26</w:t>
      </w:r>
      <w:proofErr w:type="gramStart"/>
      <w:r w:rsidRPr="002F3331">
        <w:rPr>
          <w:rFonts w:ascii="Trebuchet MS" w:eastAsia="Times New Roman" w:hAnsi="Trebuchet MS" w:cs="Arial"/>
          <w:b/>
          <w:bCs/>
          <w:color w:val="0B0C0C"/>
          <w:bdr w:val="none" w:sz="0" w:space="0" w:color="auto" w:frame="1"/>
          <w:lang w:eastAsia="en-GB"/>
        </w:rPr>
        <w:t>] )</w:t>
      </w:r>
      <w:proofErr w:type="gramEnd"/>
      <w:r w:rsidRPr="002F3331">
        <w:rPr>
          <w:rFonts w:ascii="Trebuchet MS" w:eastAsia="Times New Roman" w:hAnsi="Trebuchet MS" w:cs="Arial"/>
          <w:b/>
          <w:bCs/>
          <w:color w:val="0B0C0C"/>
          <w:bdr w:val="none" w:sz="0" w:space="0" w:color="auto" w:frame="1"/>
          <w:lang w:eastAsia="en-GB"/>
        </w:rPr>
        <w:t xml:space="preserve"> ÷ total expenditure) × 100%</w:t>
      </w:r>
    </w:p>
    <w:p w14:paraId="1BB07C2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supply staff includes salaries and wages (including allowances, maternity pay, employer contributions to National Insurance, and teachers’ pensions) for supply teaching staff employed to cover teaching staff absence.</w:t>
      </w:r>
    </w:p>
    <w:p w14:paraId="5C98AD54"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includes supply teachers that are employed directly by the school and those that are paid through an agency or third party.</w:t>
      </w:r>
    </w:p>
    <w:p w14:paraId="683E4754"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also includes premiums paid to insurers for supply teacher cover and sums de-delegated by the local authority for centrally managed schemes for supply cover.</w:t>
      </w:r>
    </w:p>
    <w:p w14:paraId="38435D39"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spend among similar schools.</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789B1806"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0B5C2947"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69A84CE7"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758AE9E4"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70F5A3C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1A98DE0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40614662"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D3BBBD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27A35785"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550B1D98"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ED5F8D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Middle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21B91945"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r w:rsidR="008D3968" w:rsidRPr="002F3331" w14:paraId="5DDA4C0B"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67B2C8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E682ED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1AA41C96"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Spend on education support staff as a percentage of total expenditure</w:t>
      </w:r>
    </w:p>
    <w:p w14:paraId="24E9711F"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education support staff typically takes up the second largest proportion of a school’s overall spending.</w:t>
      </w:r>
    </w:p>
    <w:p w14:paraId="2AA588C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they spend significantly more of their budget on education support staff than other schools. Schools should understand their rating and whether any changes are required to achieve better resource management.</w:t>
      </w:r>
    </w:p>
    <w:p w14:paraId="2B7E18CF"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1F8A8C1A"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Spend on education support staff as a percentage of total expenditure = (spend on education support staff [E3] ÷ total expenditure) × 100%</w:t>
      </w:r>
    </w:p>
    <w:p w14:paraId="212D7F30"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education support staff includes salaries and wages (including allowances, maternity pay, employer’s contributions to National Insurance and pensions) for permanent support staff employed directly by the school in support of pupils’ education.</w:t>
      </w:r>
    </w:p>
    <w:p w14:paraId="697521B0"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excludes education support staff that are not employed directly by the school and costs that are incurred as part of a service contract.</w:t>
      </w:r>
    </w:p>
    <w:p w14:paraId="4D9A4131"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Thresholds for this indicator are determined by comparing spend among similar schools.</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197051AD"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31C3CFF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400EF8E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6A0B6725"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4FA0875"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0723233C"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5A1641ED"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280F90A"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38DEE57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09CFD4C5"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2EBFB5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Middle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214FA36"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r w:rsidR="008D3968" w:rsidRPr="002F3331" w14:paraId="673AD3B9"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522334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0C16F17C"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56D94A74"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Spend on administrative and clerical staff as a percentage of total expenditure</w:t>
      </w:r>
    </w:p>
    <w:p w14:paraId="690A33B5"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they spend significantly more of their budget on administrative and clerical staff than other schools. Schools should understand their rating and whether any changes are required to achieve better resource management.</w:t>
      </w:r>
    </w:p>
    <w:p w14:paraId="476E925A"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77F15A3D"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Spend on administrative and clerical staff as a percentage of total expenditure = (spend on administrative and clerical staff [E4] ÷ total expenditure) × 100%</w:t>
      </w:r>
    </w:p>
    <w:p w14:paraId="011FC44F"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administrative and clerical staff includes salaries and wages (including allowances, maternity pay, employer’s contributions to National Insurance and pensions) for administrative and clerical staff employed directly by the school. This includes:</w:t>
      </w:r>
    </w:p>
    <w:p w14:paraId="3ABABEC6" w14:textId="77777777" w:rsidR="008D3968" w:rsidRPr="002F3331" w:rsidRDefault="008D3968" w:rsidP="008D3968">
      <w:pPr>
        <w:numPr>
          <w:ilvl w:val="0"/>
          <w:numId w:val="4"/>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business managers and bursars</w:t>
      </w:r>
    </w:p>
    <w:p w14:paraId="293594FD" w14:textId="77777777" w:rsidR="008D3968" w:rsidRPr="002F3331" w:rsidRDefault="008D3968" w:rsidP="008D3968">
      <w:pPr>
        <w:numPr>
          <w:ilvl w:val="0"/>
          <w:numId w:val="4"/>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clerk to the governing body</w:t>
      </w:r>
    </w:p>
    <w:p w14:paraId="07A171CD" w14:textId="77777777" w:rsidR="008D3968" w:rsidRPr="002F3331" w:rsidRDefault="008D3968" w:rsidP="008D3968">
      <w:pPr>
        <w:numPr>
          <w:ilvl w:val="0"/>
          <w:numId w:val="4"/>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receptionists</w:t>
      </w:r>
    </w:p>
    <w:p w14:paraId="57976850" w14:textId="77777777" w:rsidR="008D3968" w:rsidRPr="002F3331" w:rsidRDefault="008D3968" w:rsidP="008D3968">
      <w:pPr>
        <w:numPr>
          <w:ilvl w:val="0"/>
          <w:numId w:val="4"/>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 secretaries</w:t>
      </w:r>
    </w:p>
    <w:p w14:paraId="6689B0A8" w14:textId="77777777" w:rsidR="008D3968" w:rsidRPr="002F3331" w:rsidRDefault="008D3968" w:rsidP="008D3968">
      <w:pPr>
        <w:numPr>
          <w:ilvl w:val="0"/>
          <w:numId w:val="4"/>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other administrative staff</w:t>
      </w:r>
    </w:p>
    <w:p w14:paraId="4B4B16F0" w14:textId="77777777" w:rsidR="008D3968" w:rsidRPr="002F3331" w:rsidRDefault="008D3968" w:rsidP="008D3968">
      <w:pPr>
        <w:numPr>
          <w:ilvl w:val="0"/>
          <w:numId w:val="4"/>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telephonists</w:t>
      </w:r>
    </w:p>
    <w:p w14:paraId="1ABBE356" w14:textId="77777777" w:rsidR="008D3968" w:rsidRPr="002F3331" w:rsidRDefault="008D3968" w:rsidP="008D3968">
      <w:pPr>
        <w:numPr>
          <w:ilvl w:val="0"/>
          <w:numId w:val="4"/>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typists</w:t>
      </w:r>
    </w:p>
    <w:p w14:paraId="350D0E2B" w14:textId="77777777" w:rsidR="008D3968" w:rsidRPr="002F3331" w:rsidRDefault="008D3968" w:rsidP="008D3968">
      <w:pPr>
        <w:numPr>
          <w:ilvl w:val="0"/>
          <w:numId w:val="4"/>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managers</w:t>
      </w:r>
    </w:p>
    <w:p w14:paraId="50E55CBD"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excludes administrative and clerical staff that are not employed directly by the school and costs that are incurred as part of a service contract.</w:t>
      </w:r>
    </w:p>
    <w:p w14:paraId="0A23A5B1"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also excludes IT teachers and staff employed to manage and support the school’s special facilities.</w:t>
      </w:r>
    </w:p>
    <w:p w14:paraId="1498216A"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spend among similar schools.</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18536025"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2B469622"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lastRenderedPageBreak/>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4DFA59C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05B21260"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19C230A"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6DF907ED"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4E4B886B"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B77A95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8A85ED9"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6BF8DD18"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2BD45B1"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7227627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4546E3B8"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Spend on other staff costs as a percentage of total expenditure</w:t>
      </w:r>
    </w:p>
    <w:p w14:paraId="4B9AE960"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they spend significantly more of their budget on other staff costs than other schools.</w:t>
      </w:r>
    </w:p>
    <w:p w14:paraId="10F7F86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1401F3F8"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29F9356E"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Spend on other staff costs as a percentage of total expenditure = (spend on (other staff costs [E7] + indirect employee expenses [E8] + staff development and training [E9] + staff-related insurance [E11</w:t>
      </w:r>
      <w:proofErr w:type="gramStart"/>
      <w:r w:rsidRPr="002F3331">
        <w:rPr>
          <w:rFonts w:ascii="Trebuchet MS" w:eastAsia="Times New Roman" w:hAnsi="Trebuchet MS" w:cs="Arial"/>
          <w:b/>
          <w:bCs/>
          <w:color w:val="0B0C0C"/>
          <w:bdr w:val="none" w:sz="0" w:space="0" w:color="auto" w:frame="1"/>
          <w:lang w:eastAsia="en-GB"/>
        </w:rPr>
        <w:t>] )</w:t>
      </w:r>
      <w:proofErr w:type="gramEnd"/>
      <w:r w:rsidRPr="002F3331">
        <w:rPr>
          <w:rFonts w:ascii="Trebuchet MS" w:eastAsia="Times New Roman" w:hAnsi="Trebuchet MS" w:cs="Arial"/>
          <w:b/>
          <w:bCs/>
          <w:color w:val="0B0C0C"/>
          <w:bdr w:val="none" w:sz="0" w:space="0" w:color="auto" w:frame="1"/>
          <w:lang w:eastAsia="en-GB"/>
        </w:rPr>
        <w:t xml:space="preserve"> ÷ total expenditure) × 100%</w:t>
      </w:r>
    </w:p>
    <w:p w14:paraId="5883899D"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other staff costs includes salaries and wages (including allowances, maternity pay, employer’s contributions to National Insurance and pensions) for other staff employed directly by the school.</w:t>
      </w:r>
    </w:p>
    <w:p w14:paraId="49431EE8"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also includes indirect employee expenses (excluding salary costs), staff development and training (excluding the cost of supply staff used to cover teacher absence), and staff-related insurance (excluding insurance for supply teachers; premises related insurance; vehicle insurance; and school trip insurance).</w:t>
      </w:r>
    </w:p>
    <w:p w14:paraId="2F058013"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spend among similar schools.</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37F51D42"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010F31E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3EFAD61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0885E035"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170428B"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AB5B8F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4A981AD3"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2F70A21"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2A4C424C"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62617B63"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849F9DA"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902FAEF"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50C779A1"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Spend on premises (including staff) costs as a percentage of total expenditure</w:t>
      </w:r>
    </w:p>
    <w:p w14:paraId="0F91E836"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Schools may receive an amber or red rating on this indicator if they spend significantly more of their budget on premises costs than other schools.</w:t>
      </w:r>
    </w:p>
    <w:p w14:paraId="6B862779"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14A52E38"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1FEAC521"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Spend on premises costs as a percentage of total expenditure = (spend on (premises staff [E5] + maintenance of premises [E13] + cleaning and caretaking [E14] + grounds maintenance [E18] + PFI charges [E36</w:t>
      </w:r>
      <w:proofErr w:type="gramStart"/>
      <w:r w:rsidRPr="002F3331">
        <w:rPr>
          <w:rFonts w:ascii="Trebuchet MS" w:eastAsia="Times New Roman" w:hAnsi="Trebuchet MS" w:cs="Arial"/>
          <w:b/>
          <w:bCs/>
          <w:color w:val="0B0C0C"/>
          <w:bdr w:val="none" w:sz="0" w:space="0" w:color="auto" w:frame="1"/>
          <w:lang w:eastAsia="en-GB"/>
        </w:rPr>
        <w:t>] )</w:t>
      </w:r>
      <w:proofErr w:type="gramEnd"/>
      <w:r w:rsidRPr="002F3331">
        <w:rPr>
          <w:rFonts w:ascii="Trebuchet MS" w:eastAsia="Times New Roman" w:hAnsi="Trebuchet MS" w:cs="Arial"/>
          <w:b/>
          <w:bCs/>
          <w:color w:val="0B0C0C"/>
          <w:bdr w:val="none" w:sz="0" w:space="0" w:color="auto" w:frame="1"/>
          <w:lang w:eastAsia="en-GB"/>
        </w:rPr>
        <w:t xml:space="preserve"> ÷ total expenditure) × 100%</w:t>
      </w:r>
    </w:p>
    <w:p w14:paraId="0C9951F7"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premises includes salaries and wages (including allowances, maternity pay, employer’s contributions to National Insurance and pensions) for premises staff employed directly by the school. This includes:</w:t>
      </w:r>
    </w:p>
    <w:p w14:paraId="70EA3570" w14:textId="77777777" w:rsidR="008D3968" w:rsidRPr="002F3331" w:rsidRDefault="008D3968" w:rsidP="008D3968">
      <w:pPr>
        <w:numPr>
          <w:ilvl w:val="0"/>
          <w:numId w:val="5"/>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caretakers</w:t>
      </w:r>
    </w:p>
    <w:p w14:paraId="6410F92E" w14:textId="77777777" w:rsidR="008D3968" w:rsidRPr="002F3331" w:rsidRDefault="008D3968" w:rsidP="008D3968">
      <w:pPr>
        <w:numPr>
          <w:ilvl w:val="0"/>
          <w:numId w:val="5"/>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cleaners</w:t>
      </w:r>
    </w:p>
    <w:p w14:paraId="7A343E56" w14:textId="77777777" w:rsidR="008D3968" w:rsidRPr="002F3331" w:rsidRDefault="008D3968" w:rsidP="008D3968">
      <w:pPr>
        <w:numPr>
          <w:ilvl w:val="0"/>
          <w:numId w:val="5"/>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grounds staff</w:t>
      </w:r>
    </w:p>
    <w:p w14:paraId="41486746" w14:textId="77777777" w:rsidR="008D3968" w:rsidRPr="002F3331" w:rsidRDefault="008D3968" w:rsidP="008D3968">
      <w:pPr>
        <w:numPr>
          <w:ilvl w:val="0"/>
          <w:numId w:val="5"/>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maintenance staff</w:t>
      </w:r>
    </w:p>
    <w:p w14:paraId="11AEAFFD" w14:textId="77777777" w:rsidR="008D3968" w:rsidRPr="002F3331" w:rsidRDefault="008D3968" w:rsidP="008D3968">
      <w:pPr>
        <w:numPr>
          <w:ilvl w:val="0"/>
          <w:numId w:val="5"/>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porters</w:t>
      </w:r>
    </w:p>
    <w:p w14:paraId="75A2424A" w14:textId="77777777" w:rsidR="008D3968" w:rsidRPr="002F3331" w:rsidRDefault="008D3968" w:rsidP="008D3968">
      <w:pPr>
        <w:numPr>
          <w:ilvl w:val="0"/>
          <w:numId w:val="5"/>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messengers</w:t>
      </w:r>
    </w:p>
    <w:p w14:paraId="6CD618BA" w14:textId="77777777" w:rsidR="008D3968" w:rsidRPr="002F3331" w:rsidRDefault="008D3968" w:rsidP="008D3968">
      <w:pPr>
        <w:numPr>
          <w:ilvl w:val="0"/>
          <w:numId w:val="5"/>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security staff</w:t>
      </w:r>
    </w:p>
    <w:p w14:paraId="6C7F7D8C"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also includes costs associated with building and grounds maintenance, improvement and cleaning and caretaking, and PFI costs.</w:t>
      </w:r>
    </w:p>
    <w:p w14:paraId="720045F0"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spend among similar schools with:</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57FF0829"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0F87FF8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6F638555"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63EB2A24"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DE8F784"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1D6C6F01"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1746CC81"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FBC8A6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0F17989F"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530113AE"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22021F2"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75C2F36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6B5CE2E2"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Spend on teaching resources as a percentage of total expenditure</w:t>
      </w:r>
    </w:p>
    <w:p w14:paraId="6578EEC9"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they spend significantly less of their budget on teaching resources than other schools.</w:t>
      </w:r>
    </w:p>
    <w:p w14:paraId="6B6D8A6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64649000"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lastRenderedPageBreak/>
        <w:t>Calculating your data</w:t>
      </w:r>
    </w:p>
    <w:p w14:paraId="00F53B87"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Spend on teaching resources as a percentage of total expenditure = (spend on (teaching resources [E22] + ICT teaching resources [E23] + examination fees [E24</w:t>
      </w:r>
      <w:proofErr w:type="gramStart"/>
      <w:r w:rsidRPr="002F3331">
        <w:rPr>
          <w:rFonts w:ascii="Trebuchet MS" w:eastAsia="Times New Roman" w:hAnsi="Trebuchet MS" w:cs="Arial"/>
          <w:b/>
          <w:bCs/>
          <w:color w:val="0B0C0C"/>
          <w:bdr w:val="none" w:sz="0" w:space="0" w:color="auto" w:frame="1"/>
          <w:lang w:eastAsia="en-GB"/>
        </w:rPr>
        <w:t>] )</w:t>
      </w:r>
      <w:proofErr w:type="gramEnd"/>
      <w:r w:rsidRPr="002F3331">
        <w:rPr>
          <w:rFonts w:ascii="Trebuchet MS" w:eastAsia="Times New Roman" w:hAnsi="Trebuchet MS" w:cs="Arial"/>
          <w:b/>
          <w:bCs/>
          <w:color w:val="0B0C0C"/>
          <w:bdr w:val="none" w:sz="0" w:space="0" w:color="auto" w:frame="1"/>
          <w:lang w:eastAsia="en-GB"/>
        </w:rPr>
        <w:t xml:space="preserve"> ÷ total expenditure) × 100%</w:t>
      </w:r>
    </w:p>
    <w:p w14:paraId="5AF95041"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teaching resources includes curriculum ICT costs and the cost of test and examination fees and any accreditation costs related to pupils.</w:t>
      </w:r>
    </w:p>
    <w:p w14:paraId="2988BFE2"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latter includes GCSEs and A/AS levels. Primary schools are unlikely to have any costs associated with examination fees.</w:t>
      </w:r>
    </w:p>
    <w:p w14:paraId="7E36001D"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spend among similar schools.</w:t>
      </w:r>
    </w:p>
    <w:tbl>
      <w:tblPr>
        <w:tblW w:w="10688" w:type="dxa"/>
        <w:tblCellMar>
          <w:left w:w="0" w:type="dxa"/>
          <w:right w:w="0" w:type="dxa"/>
        </w:tblCellMar>
        <w:tblLook w:val="04A0" w:firstRow="1" w:lastRow="0" w:firstColumn="1" w:lastColumn="0" w:noHBand="0" w:noVBand="1"/>
      </w:tblPr>
      <w:tblGrid>
        <w:gridCol w:w="6552"/>
        <w:gridCol w:w="4136"/>
      </w:tblGrid>
      <w:tr w:rsidR="008D3968" w:rsidRPr="002F3331" w14:paraId="7632E1CA"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78AF4F85"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788A8C3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52C55C73"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90CF64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10%</w:t>
            </w:r>
          </w:p>
        </w:tc>
        <w:tc>
          <w:tcPr>
            <w:tcW w:w="0" w:type="auto"/>
            <w:tcBorders>
              <w:top w:val="nil"/>
              <w:left w:val="nil"/>
              <w:bottom w:val="single" w:sz="6" w:space="0" w:color="B1B4B6"/>
              <w:right w:val="nil"/>
            </w:tcBorders>
            <w:tcMar>
              <w:top w:w="150" w:type="dxa"/>
              <w:left w:w="0" w:type="dxa"/>
              <w:bottom w:w="150" w:type="dxa"/>
              <w:right w:w="150" w:type="dxa"/>
            </w:tcMar>
            <w:hideMark/>
          </w:tcPr>
          <w:p w14:paraId="21519B7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195F7C96"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7878812A"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10% to 20%</w:t>
            </w:r>
          </w:p>
        </w:tc>
        <w:tc>
          <w:tcPr>
            <w:tcW w:w="0" w:type="auto"/>
            <w:tcBorders>
              <w:top w:val="nil"/>
              <w:left w:val="nil"/>
              <w:bottom w:val="single" w:sz="6" w:space="0" w:color="B1B4B6"/>
              <w:right w:val="nil"/>
            </w:tcBorders>
            <w:tcMar>
              <w:top w:w="150" w:type="dxa"/>
              <w:left w:w="0" w:type="dxa"/>
              <w:bottom w:w="150" w:type="dxa"/>
              <w:right w:w="150" w:type="dxa"/>
            </w:tcMar>
            <w:hideMark/>
          </w:tcPr>
          <w:p w14:paraId="42001CD9"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691A6AEA"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7F3B5277"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Middle 20%</w:t>
            </w:r>
          </w:p>
        </w:tc>
        <w:tc>
          <w:tcPr>
            <w:tcW w:w="0" w:type="auto"/>
            <w:tcBorders>
              <w:top w:val="nil"/>
              <w:left w:val="nil"/>
              <w:bottom w:val="single" w:sz="6" w:space="0" w:color="B1B4B6"/>
              <w:right w:val="nil"/>
            </w:tcBorders>
            <w:tcMar>
              <w:top w:w="150" w:type="dxa"/>
              <w:left w:w="0" w:type="dxa"/>
              <w:bottom w:w="150" w:type="dxa"/>
              <w:right w:w="150" w:type="dxa"/>
            </w:tcMar>
            <w:hideMark/>
          </w:tcPr>
          <w:p w14:paraId="21D7A67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r w:rsidR="008D3968" w:rsidRPr="002F3331" w14:paraId="023E8636"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5846F9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34BAEDB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19C13D9D" w14:textId="77777777" w:rsidR="00DE2E5D" w:rsidRDefault="00DE2E5D"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p>
    <w:p w14:paraId="33AF7B58" w14:textId="3B4679F3"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Spend on energy as a percentage of total expenditure</w:t>
      </w:r>
    </w:p>
    <w:p w14:paraId="6E1B9B83"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they spend significantly more of their budget on energy than other schools.</w:t>
      </w:r>
    </w:p>
    <w:p w14:paraId="3429D871"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44613799"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that is significantly higher than other schools may suggest that too much resource is spent on energy and more conservation may need to be considered for both environmental and expense reasons.</w:t>
      </w:r>
    </w:p>
    <w:p w14:paraId="609ECC89" w14:textId="77777777" w:rsidR="008D3968" w:rsidRPr="002F3331" w:rsidRDefault="00000000" w:rsidP="008D3968">
      <w:pPr>
        <w:shd w:val="clear" w:color="auto" w:fill="FFFFFF"/>
        <w:spacing w:after="0" w:line="240" w:lineRule="auto"/>
        <w:textAlignment w:val="baseline"/>
        <w:rPr>
          <w:rFonts w:ascii="Trebuchet MS" w:eastAsia="Times New Roman" w:hAnsi="Trebuchet MS" w:cs="Arial"/>
          <w:color w:val="0B0C0C"/>
          <w:lang w:eastAsia="en-GB"/>
        </w:rPr>
      </w:pPr>
      <w:hyperlink r:id="rId20" w:history="1">
        <w:r w:rsidR="008D3968" w:rsidRPr="002F3331">
          <w:rPr>
            <w:rFonts w:ascii="Trebuchet MS" w:eastAsia="Times New Roman" w:hAnsi="Trebuchet MS" w:cs="Arial"/>
            <w:color w:val="1D70B8"/>
            <w:u w:val="single"/>
            <w:bdr w:val="none" w:sz="0" w:space="0" w:color="auto" w:frame="1"/>
            <w:lang w:eastAsia="en-GB"/>
          </w:rPr>
          <w:t>Deals for schools</w:t>
        </w:r>
      </w:hyperlink>
      <w:r w:rsidR="008D3968" w:rsidRPr="002F3331">
        <w:rPr>
          <w:rFonts w:ascii="Trebuchet MS" w:eastAsia="Times New Roman" w:hAnsi="Trebuchet MS" w:cs="Arial"/>
          <w:color w:val="0B0C0C"/>
          <w:lang w:eastAsia="en-GB"/>
        </w:rPr>
        <w:t> provides information on a wide range of non-staff deals that have been reviewed by the Schools Commercial Team (SCT) in DfE.</w:t>
      </w:r>
    </w:p>
    <w:p w14:paraId="47198972"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These are assessed for compliance with procurement regulations, ease of use, </w:t>
      </w:r>
      <w:proofErr w:type="gramStart"/>
      <w:r w:rsidRPr="002F3331">
        <w:rPr>
          <w:rFonts w:ascii="Trebuchet MS" w:eastAsia="Times New Roman" w:hAnsi="Trebuchet MS" w:cs="Arial"/>
          <w:color w:val="0B0C0C"/>
          <w:lang w:eastAsia="en-GB"/>
        </w:rPr>
        <w:t>suitability</w:t>
      </w:r>
      <w:proofErr w:type="gramEnd"/>
      <w:r w:rsidRPr="002F3331">
        <w:rPr>
          <w:rFonts w:ascii="Trebuchet MS" w:eastAsia="Times New Roman" w:hAnsi="Trebuchet MS" w:cs="Arial"/>
          <w:color w:val="0B0C0C"/>
          <w:lang w:eastAsia="en-GB"/>
        </w:rPr>
        <w:t xml:space="preserve"> and value for money.</w:t>
      </w:r>
    </w:p>
    <w:p w14:paraId="39BAC6E9"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Many schools have made significant changes by changing their suppliers to those recommended by DfE.</w:t>
      </w:r>
    </w:p>
    <w:p w14:paraId="4D6DB315"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047C0FB0"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Spend on energy as a percentage of total expenditure = (spend on energy [E16] ÷ total expenditure) × 100%</w:t>
      </w:r>
    </w:p>
    <w:p w14:paraId="26728B5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energy includes all costs related to fuel and energy.</w:t>
      </w:r>
    </w:p>
    <w:p w14:paraId="135919A6"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excludes any costs arising from repairs or maintenance to energy supplies.</w:t>
      </w:r>
    </w:p>
    <w:p w14:paraId="5C39A4E2"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spend among similar schools.</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00817CF7"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2A77590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3FA03797"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1648073F"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2A3D2C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61DA7F07"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3B63453F"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44AC2F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2327729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76271396"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A64658A"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28984F4D"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542760CB"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Other spending as a percentage of total expenditure</w:t>
      </w:r>
    </w:p>
    <w:p w14:paraId="05B93CF7"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This is a balancing line to ensure that the total spending section totals 100%. It is not rated against thresholds.</w:t>
      </w:r>
    </w:p>
    <w:p w14:paraId="2E6494D1"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63ADDB88"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Other spending as a percentage of total expenditure = (spend on (catering staff [E6] + water and sewerage [E15] + rent and rates [E17] + other occupation costs [E19] + special facilities [E21] + educational consultancy [E25] + catering supplies [E28] + auditor costs [E29] + other insurance premiums [E30] + administrative supplies [E31] + direct revenue finance [E32] + professional services [E33] + interest charges for loan and bank [E35]) ÷ total expenditure) × 100%</w:t>
      </w:r>
    </w:p>
    <w:p w14:paraId="1FCBE6CC" w14:textId="77777777" w:rsidR="008D3968" w:rsidRPr="002F3331" w:rsidRDefault="008D3968" w:rsidP="008D3968">
      <w:pPr>
        <w:shd w:val="clear" w:color="auto" w:fill="FFFFFF"/>
        <w:spacing w:before="1200" w:after="0" w:line="240" w:lineRule="auto"/>
        <w:textAlignment w:val="baseline"/>
        <w:outlineLvl w:val="1"/>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 Reserves / balances as a percentage of total income</w:t>
      </w:r>
    </w:p>
    <w:p w14:paraId="6C61D348"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In-year balance as a percentage of total income</w:t>
      </w:r>
    </w:p>
    <w:p w14:paraId="7FF373A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Schools should set a well-informed and balanced budget that does not lead to an excessive surplus or deficit at the end of the year.</w:t>
      </w:r>
    </w:p>
    <w:p w14:paraId="39A9C43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Schools may spend more than their income </w:t>
      </w:r>
      <w:proofErr w:type="gramStart"/>
      <w:r w:rsidRPr="002F3331">
        <w:rPr>
          <w:rFonts w:ascii="Trebuchet MS" w:eastAsia="Times New Roman" w:hAnsi="Trebuchet MS" w:cs="Arial"/>
          <w:color w:val="0B0C0C"/>
          <w:lang w:eastAsia="en-GB"/>
        </w:rPr>
        <w:t>in a given year</w:t>
      </w:r>
      <w:proofErr w:type="gramEnd"/>
      <w:r w:rsidRPr="002F3331">
        <w:rPr>
          <w:rFonts w:ascii="Trebuchet MS" w:eastAsia="Times New Roman" w:hAnsi="Trebuchet MS" w:cs="Arial"/>
          <w:color w:val="0B0C0C"/>
          <w:lang w:eastAsia="en-GB"/>
        </w:rPr>
        <w:t xml:space="preserve"> for a range of planned and sensible reasons, but it may also be a sign the school is not effectively managing its budget.</w:t>
      </w:r>
    </w:p>
    <w:p w14:paraId="40DA0C89"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Schools will receive an amber or red rating on this indicator if their total spending is more than their income </w:t>
      </w:r>
      <w:proofErr w:type="gramStart"/>
      <w:r w:rsidRPr="002F3331">
        <w:rPr>
          <w:rFonts w:ascii="Trebuchet MS" w:eastAsia="Times New Roman" w:hAnsi="Trebuchet MS" w:cs="Arial"/>
          <w:color w:val="0B0C0C"/>
          <w:lang w:eastAsia="en-GB"/>
        </w:rPr>
        <w:t>in a given year</w:t>
      </w:r>
      <w:proofErr w:type="gramEnd"/>
      <w:r w:rsidRPr="002F3331">
        <w:rPr>
          <w:rFonts w:ascii="Trebuchet MS" w:eastAsia="Times New Roman" w:hAnsi="Trebuchet MS" w:cs="Arial"/>
          <w:color w:val="0B0C0C"/>
          <w:lang w:eastAsia="en-GB"/>
        </w:rPr>
        <w:t>.</w:t>
      </w:r>
    </w:p>
    <w:p w14:paraId="081FBC57"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4488FD8B"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In-year balance as a percentage of total income = ((total income - total expenditure) ÷ total income) × 100%</w:t>
      </w:r>
    </w:p>
    <w:p w14:paraId="56739037"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An in-year deficit is indicated by a negative result, and an in-year surplus is indicated by a positive result.</w:t>
      </w:r>
    </w:p>
    <w:p w14:paraId="2A707C34"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Ratings are:</w:t>
      </w:r>
    </w:p>
    <w:tbl>
      <w:tblPr>
        <w:tblW w:w="10688" w:type="dxa"/>
        <w:tblCellMar>
          <w:left w:w="0" w:type="dxa"/>
          <w:right w:w="0" w:type="dxa"/>
        </w:tblCellMar>
        <w:tblLook w:val="04A0" w:firstRow="1" w:lastRow="0" w:firstColumn="1" w:lastColumn="0" w:noHBand="0" w:noVBand="1"/>
      </w:tblPr>
      <w:tblGrid>
        <w:gridCol w:w="8714"/>
        <w:gridCol w:w="1974"/>
      </w:tblGrid>
      <w:tr w:rsidR="008D3968" w:rsidRPr="002F3331" w14:paraId="66A689DA"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385991C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5F3A9D04"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334DF5C4"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E03638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an in-year deficit of over 5%</w:t>
            </w:r>
          </w:p>
        </w:tc>
        <w:tc>
          <w:tcPr>
            <w:tcW w:w="0" w:type="auto"/>
            <w:tcBorders>
              <w:top w:val="nil"/>
              <w:left w:val="nil"/>
              <w:bottom w:val="single" w:sz="6" w:space="0" w:color="B1B4B6"/>
              <w:right w:val="nil"/>
            </w:tcBorders>
            <w:tcMar>
              <w:top w:w="150" w:type="dxa"/>
              <w:left w:w="0" w:type="dxa"/>
              <w:bottom w:w="150" w:type="dxa"/>
              <w:right w:w="150" w:type="dxa"/>
            </w:tcMar>
            <w:hideMark/>
          </w:tcPr>
          <w:p w14:paraId="030D60F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57276FD3"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0DA3AB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an in-year deficit of less than 5%</w:t>
            </w:r>
          </w:p>
        </w:tc>
        <w:tc>
          <w:tcPr>
            <w:tcW w:w="0" w:type="auto"/>
            <w:tcBorders>
              <w:top w:val="nil"/>
              <w:left w:val="nil"/>
              <w:bottom w:val="single" w:sz="6" w:space="0" w:color="B1B4B6"/>
              <w:right w:val="nil"/>
            </w:tcBorders>
            <w:tcMar>
              <w:top w:w="150" w:type="dxa"/>
              <w:left w:w="0" w:type="dxa"/>
              <w:bottom w:w="150" w:type="dxa"/>
              <w:right w:w="150" w:type="dxa"/>
            </w:tcMar>
            <w:hideMark/>
          </w:tcPr>
          <w:p w14:paraId="5F0B7F81"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36F865A1"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EF9C41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balanced budget or an in-year surplus</w:t>
            </w:r>
          </w:p>
        </w:tc>
        <w:tc>
          <w:tcPr>
            <w:tcW w:w="0" w:type="auto"/>
            <w:tcBorders>
              <w:top w:val="nil"/>
              <w:left w:val="nil"/>
              <w:bottom w:val="single" w:sz="6" w:space="0" w:color="B1B4B6"/>
              <w:right w:val="nil"/>
            </w:tcBorders>
            <w:tcMar>
              <w:top w:w="150" w:type="dxa"/>
              <w:left w:w="0" w:type="dxa"/>
              <w:bottom w:w="150" w:type="dxa"/>
              <w:right w:w="150" w:type="dxa"/>
            </w:tcMar>
            <w:hideMark/>
          </w:tcPr>
          <w:p w14:paraId="6EE3DF3F"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725FA122"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Revenue reserve as a percentage of total income</w:t>
      </w:r>
    </w:p>
    <w:p w14:paraId="59B598C6"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will receive an amber or red rating on this indicator if their total revenue reserves are negative. Any schools running a deficit should have a plan to eliminate the deficit.</w:t>
      </w:r>
    </w:p>
    <w:p w14:paraId="26B2D4D9"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359C5868"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Revenue reserve as a percentage of total income = ((Restricted and unrestricted funds carried forward from the previous year + total income from current year – total expenditure in current year) ÷ total income in current year) × 100%</w:t>
      </w:r>
    </w:p>
    <w:p w14:paraId="49F863E0"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 cumulative deficit / negative reserve is indicated by a negative result, and a cumulative surplus / positive reserve is indicated by a positive result.</w:t>
      </w:r>
    </w:p>
    <w:p w14:paraId="591C56E6"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Ratings are:</w:t>
      </w:r>
    </w:p>
    <w:tbl>
      <w:tblPr>
        <w:tblW w:w="10688" w:type="dxa"/>
        <w:tblCellMar>
          <w:left w:w="0" w:type="dxa"/>
          <w:right w:w="0" w:type="dxa"/>
        </w:tblCellMar>
        <w:tblLook w:val="04A0" w:firstRow="1" w:lastRow="0" w:firstColumn="1" w:lastColumn="0" w:noHBand="0" w:noVBand="1"/>
      </w:tblPr>
      <w:tblGrid>
        <w:gridCol w:w="8783"/>
        <w:gridCol w:w="1905"/>
      </w:tblGrid>
      <w:tr w:rsidR="008D3968" w:rsidRPr="002F3331" w14:paraId="55C7D00E"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2F3E9D2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1020CF92"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30BAF85F"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D8595E1"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negative revenue reserves of over 5%</w:t>
            </w:r>
          </w:p>
        </w:tc>
        <w:tc>
          <w:tcPr>
            <w:tcW w:w="0" w:type="auto"/>
            <w:tcBorders>
              <w:top w:val="nil"/>
              <w:left w:val="nil"/>
              <w:bottom w:val="single" w:sz="6" w:space="0" w:color="B1B4B6"/>
              <w:right w:val="nil"/>
            </w:tcBorders>
            <w:tcMar>
              <w:top w:w="150" w:type="dxa"/>
              <w:left w:w="0" w:type="dxa"/>
              <w:bottom w:w="150" w:type="dxa"/>
              <w:right w:w="150" w:type="dxa"/>
            </w:tcMar>
            <w:hideMark/>
          </w:tcPr>
          <w:p w14:paraId="38D3CF0D"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088EA5F3"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FD71567"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lastRenderedPageBreak/>
              <w:t>Schools with negative revenue reserves of less than 5%</w:t>
            </w:r>
          </w:p>
        </w:tc>
        <w:tc>
          <w:tcPr>
            <w:tcW w:w="0" w:type="auto"/>
            <w:tcBorders>
              <w:top w:val="nil"/>
              <w:left w:val="nil"/>
              <w:bottom w:val="single" w:sz="6" w:space="0" w:color="B1B4B6"/>
              <w:right w:val="nil"/>
            </w:tcBorders>
            <w:tcMar>
              <w:top w:w="150" w:type="dxa"/>
              <w:left w:w="0" w:type="dxa"/>
              <w:bottom w:w="150" w:type="dxa"/>
              <w:right w:w="150" w:type="dxa"/>
            </w:tcMar>
            <w:hideMark/>
          </w:tcPr>
          <w:p w14:paraId="495CCF6F"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3BC2EE7B"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3811FD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no revenue reserves or a positive balance</w:t>
            </w:r>
          </w:p>
        </w:tc>
        <w:tc>
          <w:tcPr>
            <w:tcW w:w="0" w:type="auto"/>
            <w:tcBorders>
              <w:top w:val="nil"/>
              <w:left w:val="nil"/>
              <w:bottom w:val="single" w:sz="6" w:space="0" w:color="B1B4B6"/>
              <w:right w:val="nil"/>
            </w:tcBorders>
            <w:tcMar>
              <w:top w:w="150" w:type="dxa"/>
              <w:left w:w="0" w:type="dxa"/>
              <w:bottom w:w="150" w:type="dxa"/>
              <w:right w:w="150" w:type="dxa"/>
            </w:tcMar>
            <w:hideMark/>
          </w:tcPr>
          <w:p w14:paraId="6BAF364C"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0D2F955B" w14:textId="77777777" w:rsidR="00DE2E5D" w:rsidRDefault="008D3968" w:rsidP="00DE2E5D">
      <w:pPr>
        <w:shd w:val="clear" w:color="auto" w:fill="FFFFFF"/>
        <w:spacing w:before="1200" w:after="0" w:line="240" w:lineRule="auto"/>
        <w:textAlignment w:val="baseline"/>
        <w:outlineLvl w:val="1"/>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D. School characteristics</w:t>
      </w:r>
    </w:p>
    <w:p w14:paraId="62479541" w14:textId="77777777" w:rsidR="00DE2E5D" w:rsidRDefault="00DE2E5D" w:rsidP="00DE2E5D">
      <w:pPr>
        <w:shd w:val="clear" w:color="auto" w:fill="FFFFFF"/>
        <w:spacing w:after="0" w:line="240" w:lineRule="auto"/>
        <w:textAlignment w:val="baseline"/>
        <w:outlineLvl w:val="1"/>
        <w:rPr>
          <w:rFonts w:ascii="Trebuchet MS" w:eastAsia="Times New Roman" w:hAnsi="Trebuchet MS" w:cs="Arial"/>
          <w:b/>
          <w:bCs/>
          <w:color w:val="0B0C0C"/>
          <w:lang w:eastAsia="en-GB"/>
        </w:rPr>
      </w:pPr>
    </w:p>
    <w:p w14:paraId="0183B145" w14:textId="3881AFF1" w:rsidR="008D3968" w:rsidRPr="002F3331" w:rsidRDefault="008D3968" w:rsidP="00DE2E5D">
      <w:pPr>
        <w:shd w:val="clear" w:color="auto" w:fill="FFFFFF"/>
        <w:spacing w:after="0" w:line="240" w:lineRule="auto"/>
        <w:textAlignment w:val="baseline"/>
        <w:outlineLvl w:val="1"/>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Average teacher cost</w:t>
      </w:r>
    </w:p>
    <w:p w14:paraId="34345A3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teaching staff typically takes up the largest proportion of a school’s overall spending.</w:t>
      </w:r>
    </w:p>
    <w:p w14:paraId="5776BC83"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Key factors determining the level of spend on teaching staff include the number of teachers; the structure of the school workforce; and the average teacher cost.</w:t>
      </w:r>
    </w:p>
    <w:p w14:paraId="012AD794"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their average teacher cost is significantly lower or higher than other schools.</w:t>
      </w:r>
    </w:p>
    <w:p w14:paraId="639D0CC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1B00EB9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An average teacher cost that is significantly different from other schools may suggest that the staffing grade profile; the responsibility structure of the school; or the pay flexibilities (for example differentiating pay by teachers’ performance) are different from other schools and may be a consideration for change.</w:t>
      </w:r>
    </w:p>
    <w:p w14:paraId="0D5BD4DC"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1701A1D7"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Average teacher cost = spend on teaching staff [E1] ÷ full time equivalent number of teachers</w:t>
      </w:r>
    </w:p>
    <w:p w14:paraId="34AA6523"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Spend on teaching staff includes the salaries and wages (including allowances, maternity pay, employer’s contributions to National Insurance, and teachers’ pensions) of permanent teaching staff.</w:t>
      </w:r>
    </w:p>
    <w:p w14:paraId="07F6B3C1"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It excludes teachers employed casually and directly, such as supply teachers, and any teacher not employed directly by the school such as agency staff.</w:t>
      </w:r>
    </w:p>
    <w:p w14:paraId="1E5AA3E5"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Full time equivalent number of teachers includes both classroom teachers and teachers in the leadership group. It excludes teaching assistants, non-</w:t>
      </w:r>
      <w:proofErr w:type="gramStart"/>
      <w:r w:rsidRPr="002F3331">
        <w:rPr>
          <w:rFonts w:ascii="Trebuchet MS" w:eastAsia="Times New Roman" w:hAnsi="Trebuchet MS" w:cs="Arial"/>
          <w:color w:val="0B0C0C"/>
          <w:lang w:eastAsia="en-GB"/>
        </w:rPr>
        <w:t>classroom based</w:t>
      </w:r>
      <w:proofErr w:type="gramEnd"/>
      <w:r w:rsidRPr="002F3331">
        <w:rPr>
          <w:rFonts w:ascii="Trebuchet MS" w:eastAsia="Times New Roman" w:hAnsi="Trebuchet MS" w:cs="Arial"/>
          <w:color w:val="0B0C0C"/>
          <w:lang w:eastAsia="en-GB"/>
        </w:rPr>
        <w:t xml:space="preserve"> school support staff, and auxiliary staff.</w:t>
      </w:r>
    </w:p>
    <w:p w14:paraId="164E4530"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For schools in inner or outer London, thresholds for this indicator are determined by comparing average teacher cost amongst other schools in London.</w:t>
      </w:r>
    </w:p>
    <w:p w14:paraId="53C0F05E"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For schools outside London, thresholds for this indicator are determined by comparing average teacher cost amongst other schools outside London.</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6CDFAA2A"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2BD22D4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391EC7B1"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480E808A"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B8FF76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3D141FA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68FF1445"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F65FD2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36AEBFC1"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5DFD3067"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CB98E02"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Middle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1589AEA2"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r w:rsidR="008D3968" w:rsidRPr="002F3331" w14:paraId="42691D72"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536B80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2F3FECB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559B66A5"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Senior leaders as a percentage of workforce</w:t>
      </w:r>
    </w:p>
    <w:p w14:paraId="45BDA5AD"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have different senior leadership teams and structures.</w:t>
      </w:r>
    </w:p>
    <w:p w14:paraId="1789C09B"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senior leaders as a percentage of workforce is significantly higher than other schools.</w:t>
      </w:r>
    </w:p>
    <w:p w14:paraId="1AAEBD39"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3C9DEF0D"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Having a high proportion of the workforce in the leadership group may suggest that not enough of the workforce is focused on teaching.</w:t>
      </w:r>
    </w:p>
    <w:p w14:paraId="11E89A2C"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236F324C"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Senior leaders as a percentage of workforce = full time equivalent number of teachers in the leadership group ÷ full time equivalent total school workforce</w:t>
      </w:r>
    </w:p>
    <w:p w14:paraId="7BE95CCE"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Full time-equivalent number of teachers in the leadership group includes headteachers, deputy headteacher, and assistant headteachers.</w:t>
      </w:r>
    </w:p>
    <w:p w14:paraId="429A4AD0"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spend among similar schools.</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7529922F"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3434F0B2"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6E029C0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7B198584"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6DA11D4"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06EADC7E"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6E677D47"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D241E8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0DB4DBF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7ED72789"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33DF1E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Middle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4A74D33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r w:rsidR="008D3968" w:rsidRPr="002F3331" w14:paraId="79B45C2F"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F14B512"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78734894"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26D4ACB5" w14:textId="77777777" w:rsidR="00DE2E5D" w:rsidRDefault="00DE2E5D" w:rsidP="00DE2E5D">
      <w:pPr>
        <w:shd w:val="clear" w:color="auto" w:fill="FFFFFF"/>
        <w:spacing w:after="0" w:line="240" w:lineRule="auto"/>
        <w:textAlignment w:val="baseline"/>
        <w:outlineLvl w:val="2"/>
        <w:rPr>
          <w:rFonts w:ascii="Trebuchet MS" w:eastAsia="Times New Roman" w:hAnsi="Trebuchet MS" w:cs="Arial"/>
          <w:b/>
          <w:bCs/>
          <w:color w:val="0B0C0C"/>
          <w:lang w:eastAsia="en-GB"/>
        </w:rPr>
      </w:pPr>
    </w:p>
    <w:p w14:paraId="369CB32F" w14:textId="77777777" w:rsidR="00DE2E5D" w:rsidRDefault="00DE2E5D" w:rsidP="00DE2E5D">
      <w:pPr>
        <w:shd w:val="clear" w:color="auto" w:fill="FFFFFF"/>
        <w:spacing w:after="0" w:line="240" w:lineRule="auto"/>
        <w:textAlignment w:val="baseline"/>
        <w:outlineLvl w:val="2"/>
        <w:rPr>
          <w:rFonts w:ascii="Trebuchet MS" w:eastAsia="Times New Roman" w:hAnsi="Trebuchet MS" w:cs="Arial"/>
          <w:b/>
          <w:bCs/>
          <w:color w:val="0B0C0C"/>
          <w:lang w:eastAsia="en-GB"/>
        </w:rPr>
      </w:pPr>
    </w:p>
    <w:p w14:paraId="1741722F" w14:textId="47F25466" w:rsidR="008D3968" w:rsidRPr="002F3331" w:rsidRDefault="008D3968" w:rsidP="00DE2E5D">
      <w:pPr>
        <w:shd w:val="clear" w:color="auto" w:fill="FFFFFF"/>
        <w:spacing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Pupil to teacher ratio</w:t>
      </w:r>
    </w:p>
    <w:p w14:paraId="44C63955"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pupil to teacher ratio indicates how many pupils there are to each teacher across the whole school.</w:t>
      </w:r>
    </w:p>
    <w:p w14:paraId="03925DE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their pupil to teacher ratio is significantly lower or higher than other schools.</w:t>
      </w:r>
    </w:p>
    <w:p w14:paraId="212A2417"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68B75BC6"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 relatively low pupil to teacher ratio may suggest that class sizes are small which may be costly and not the best use of resources. A relatively high pupil to teacher ratio may affect pupil outcomes and teacher workload.</w:t>
      </w:r>
    </w:p>
    <w:p w14:paraId="5D489777"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44E79695"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Pupil to teacher ratio = total number of pupils ÷ full time equivalent number of teachers</w:t>
      </w:r>
    </w:p>
    <w:p w14:paraId="0388B09E"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Full time equivalent number of teachers includes both classroom teachers and teachers in the leadership group. It excludes teaching assistants, non-</w:t>
      </w:r>
      <w:proofErr w:type="gramStart"/>
      <w:r w:rsidRPr="002F3331">
        <w:rPr>
          <w:rFonts w:ascii="Trebuchet MS" w:eastAsia="Times New Roman" w:hAnsi="Trebuchet MS" w:cs="Arial"/>
          <w:color w:val="0B0C0C"/>
          <w:lang w:eastAsia="en-GB"/>
        </w:rPr>
        <w:t>classroom based</w:t>
      </w:r>
      <w:proofErr w:type="gramEnd"/>
      <w:r w:rsidRPr="002F3331">
        <w:rPr>
          <w:rFonts w:ascii="Trebuchet MS" w:eastAsia="Times New Roman" w:hAnsi="Trebuchet MS" w:cs="Arial"/>
          <w:color w:val="0B0C0C"/>
          <w:lang w:eastAsia="en-GB"/>
        </w:rPr>
        <w:t xml:space="preserve"> school support staff, and auxiliary staff.</w:t>
      </w:r>
    </w:p>
    <w:p w14:paraId="2DEC52C0"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spend among similar schools.</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560DA50B"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5E2F4FD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5815C404"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3303B1FC"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4817DC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6C3DD0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6C9DC9EF"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FCFD2D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2D9123F"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75DA55D9"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7C58C7D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Middle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74F854CE"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r w:rsidR="008D3968" w:rsidRPr="002F3331" w14:paraId="03E120E0"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41C5F24"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F7AC4E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6EB6D902"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Pupil to adult ratio</w:t>
      </w:r>
    </w:p>
    <w:p w14:paraId="77B0254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pupil to adult ratio indicates how many pupils there are to each member of staff across the whole school.</w:t>
      </w:r>
    </w:p>
    <w:p w14:paraId="3B93D350"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may receive an amber or red rating on this indicator if their pupil to adult ratio is significantly lower or higher than other schools.</w:t>
      </w:r>
    </w:p>
    <w:p w14:paraId="311E83E6"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7AB6CE3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A relatively low pupil to adult ratio may suggest that there are too many members of staff for the number of pupils which may not be a suitable use of resource.</w:t>
      </w:r>
    </w:p>
    <w:p w14:paraId="5213097F"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 relatively high pupil to adult ratio may affect pupil outcomes and staff workload.</w:t>
      </w:r>
    </w:p>
    <w:p w14:paraId="3F603969"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 high pupil to teacher ratio but a low pupil to adult ratio may suggest that the school’s workforce could be weighted too greatly towards non-teaching staff.</w:t>
      </w:r>
    </w:p>
    <w:p w14:paraId="698736AD"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03497A45"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Pupil to adult ratio = total number of pupils ÷ full time equivalent total school workforce</w:t>
      </w:r>
    </w:p>
    <w:p w14:paraId="34E4605D"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Thresholds for this indicator are determined by comparing spend among similar </w:t>
      </w:r>
      <w:proofErr w:type="gramStart"/>
      <w:r w:rsidRPr="002F3331">
        <w:rPr>
          <w:rFonts w:ascii="Trebuchet MS" w:eastAsia="Times New Roman" w:hAnsi="Trebuchet MS" w:cs="Arial"/>
          <w:color w:val="0B0C0C"/>
          <w:lang w:eastAsia="en-GB"/>
        </w:rPr>
        <w:t>schools .</w:t>
      </w:r>
      <w:proofErr w:type="gramEnd"/>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3D2714F4"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3851AB9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3030047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318C8FFB"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F5BAD6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1B19382B"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16612843"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787C592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57576F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3DE606D0"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8525FF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Middle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7B386776"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r w:rsidR="008D3968" w:rsidRPr="002F3331" w14:paraId="31D01DA0"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CA0379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6981C0D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180D3FF8"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Teacher contact ratio</w:t>
      </w:r>
    </w:p>
    <w:p w14:paraId="4F5BD373"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All teachers should have a guaranteed minimum of 10% timetabled planning, </w:t>
      </w:r>
      <w:proofErr w:type="gramStart"/>
      <w:r w:rsidRPr="002F3331">
        <w:rPr>
          <w:rFonts w:ascii="Trebuchet MS" w:eastAsia="Times New Roman" w:hAnsi="Trebuchet MS" w:cs="Arial"/>
          <w:color w:val="0B0C0C"/>
          <w:lang w:eastAsia="en-GB"/>
        </w:rPr>
        <w:t>preparation</w:t>
      </w:r>
      <w:proofErr w:type="gramEnd"/>
      <w:r w:rsidRPr="002F3331">
        <w:rPr>
          <w:rFonts w:ascii="Trebuchet MS" w:eastAsia="Times New Roman" w:hAnsi="Trebuchet MS" w:cs="Arial"/>
          <w:color w:val="0B0C0C"/>
          <w:lang w:eastAsia="en-GB"/>
        </w:rPr>
        <w:t xml:space="preserve"> and assessment (PPA) time.</w:t>
      </w:r>
    </w:p>
    <w:p w14:paraId="10CBD220"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Association of School and College Leaders (ASCL) advocates 0.78 as an aspirational target for average contact ratio, on the basis that this represents approximately 10% of all timetabled teacher time in planning and preparation, 10% in management activity, and 2% margin. But schools should make their own decisions on average contact ratio to reflect their own circumstances and affordability</w:t>
      </w:r>
    </w:p>
    <w:p w14:paraId="7648C5F3"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will receive an amber or red rating on this indicator if their teacher contact ratio is significantly lower or higher than the ASCL aspirational target.</w:t>
      </w:r>
    </w:p>
    <w:p w14:paraId="60DF018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664B44E1"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An average teacher contact ratio significantly higher than 0.78 could indicate that not enough time is given to PPA and management activity.</w:t>
      </w:r>
    </w:p>
    <w:p w14:paraId="709E5097"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An average teacher contact ratio significantly lower than 0.78 might indicate flexibility to increase available teaching time in the classroom.</w:t>
      </w:r>
    </w:p>
    <w:p w14:paraId="04869D6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When deciding how much of their staff’s time is spent on PPA and management activity, schools should always consider:</w:t>
      </w:r>
    </w:p>
    <w:p w14:paraId="3B524014" w14:textId="77777777" w:rsidR="008D3968" w:rsidRPr="002F3331" w:rsidRDefault="008D3968" w:rsidP="008D3968">
      <w:pPr>
        <w:numPr>
          <w:ilvl w:val="0"/>
          <w:numId w:val="6"/>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their individual context and circumstances</w:t>
      </w:r>
    </w:p>
    <w:p w14:paraId="5D71252B" w14:textId="77777777" w:rsidR="008D3968" w:rsidRPr="002F3331" w:rsidRDefault="008D3968" w:rsidP="008D3968">
      <w:pPr>
        <w:numPr>
          <w:ilvl w:val="0"/>
          <w:numId w:val="6"/>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demands being placed on their staff</w:t>
      </w:r>
    </w:p>
    <w:p w14:paraId="58ABBDA8" w14:textId="77777777" w:rsidR="008D3968" w:rsidRPr="002F3331" w:rsidRDefault="008D3968" w:rsidP="008D3968">
      <w:pPr>
        <w:numPr>
          <w:ilvl w:val="0"/>
          <w:numId w:val="6"/>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what can be reasonably expected in terms of teaching load</w:t>
      </w:r>
    </w:p>
    <w:p w14:paraId="4F97CA78" w14:textId="77777777" w:rsidR="008D3968" w:rsidRPr="002F3331" w:rsidRDefault="008D3968" w:rsidP="008D3968">
      <w:pPr>
        <w:numPr>
          <w:ilvl w:val="0"/>
          <w:numId w:val="6"/>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cost and affordability of the resulting teacher contact ratio</w:t>
      </w:r>
    </w:p>
    <w:p w14:paraId="0D3F41C7"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4ECB1D26"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For secondary schools:</w:t>
      </w:r>
    </w:p>
    <w:p w14:paraId="612A1AF0"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Teacher contact ratio = total number of teaching periods timetabled for all teachers in the school ÷ total possible number of teaching periods</w:t>
      </w:r>
    </w:p>
    <w:p w14:paraId="275844C0"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The total possible number of teaching periods is equivalent to the number of teaching periods in the timetable cycle multiplied by the </w:t>
      </w:r>
      <w:proofErr w:type="gramStart"/>
      <w:r w:rsidRPr="002F3331">
        <w:rPr>
          <w:rFonts w:ascii="Trebuchet MS" w:eastAsia="Times New Roman" w:hAnsi="Trebuchet MS" w:cs="Arial"/>
          <w:color w:val="0B0C0C"/>
          <w:lang w:eastAsia="en-GB"/>
        </w:rPr>
        <w:t>full time</w:t>
      </w:r>
      <w:proofErr w:type="gramEnd"/>
      <w:r w:rsidRPr="002F3331">
        <w:rPr>
          <w:rFonts w:ascii="Trebuchet MS" w:eastAsia="Times New Roman" w:hAnsi="Trebuchet MS" w:cs="Arial"/>
          <w:color w:val="0B0C0C"/>
          <w:lang w:eastAsia="en-GB"/>
        </w:rPr>
        <w:t xml:space="preserve"> equivalent number of teachers.</w:t>
      </w:r>
    </w:p>
    <w:p w14:paraId="0052523F"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Full time equivalent number of teachers includes both classroom teachers and teachers in the leadership group. It excludes teaching assistants, non-</w:t>
      </w:r>
      <w:proofErr w:type="gramStart"/>
      <w:r w:rsidRPr="002F3331">
        <w:rPr>
          <w:rFonts w:ascii="Trebuchet MS" w:eastAsia="Times New Roman" w:hAnsi="Trebuchet MS" w:cs="Arial"/>
          <w:color w:val="0B0C0C"/>
          <w:lang w:eastAsia="en-GB"/>
        </w:rPr>
        <w:t>classroom based</w:t>
      </w:r>
      <w:proofErr w:type="gramEnd"/>
      <w:r w:rsidRPr="002F3331">
        <w:rPr>
          <w:rFonts w:ascii="Trebuchet MS" w:eastAsia="Times New Roman" w:hAnsi="Trebuchet MS" w:cs="Arial"/>
          <w:color w:val="0B0C0C"/>
          <w:lang w:eastAsia="en-GB"/>
        </w:rPr>
        <w:t xml:space="preserve"> school support staff, and auxiliary staff.</w:t>
      </w:r>
    </w:p>
    <w:p w14:paraId="7129DBDA"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For primary schools:</w:t>
      </w:r>
    </w:p>
    <w:p w14:paraId="6DE43766" w14:textId="77777777" w:rsidR="008D3968" w:rsidRPr="002F3331" w:rsidRDefault="008D3968" w:rsidP="008D3968">
      <w:pPr>
        <w:shd w:val="clear" w:color="auto" w:fill="FFFFFF"/>
        <w:spacing w:after="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Teacher contact ratio = total number of classes ÷ full time equivalent number of teachers</w:t>
      </w:r>
    </w:p>
    <w:p w14:paraId="672E405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Full time equivalent number of teachers includes both classroom teachers and teachers in the leadership group. It excludes teaching assistants, non-</w:t>
      </w:r>
      <w:proofErr w:type="gramStart"/>
      <w:r w:rsidRPr="002F3331">
        <w:rPr>
          <w:rFonts w:ascii="Trebuchet MS" w:eastAsia="Times New Roman" w:hAnsi="Trebuchet MS" w:cs="Arial"/>
          <w:color w:val="0B0C0C"/>
          <w:lang w:eastAsia="en-GB"/>
        </w:rPr>
        <w:t>classroom based</w:t>
      </w:r>
      <w:proofErr w:type="gramEnd"/>
      <w:r w:rsidRPr="002F3331">
        <w:rPr>
          <w:rFonts w:ascii="Trebuchet MS" w:eastAsia="Times New Roman" w:hAnsi="Trebuchet MS" w:cs="Arial"/>
          <w:color w:val="0B0C0C"/>
          <w:lang w:eastAsia="en-GB"/>
        </w:rPr>
        <w:t xml:space="preserve"> school support staff, and auxiliary staff.</w:t>
      </w:r>
    </w:p>
    <w:p w14:paraId="7467F072"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teacher contact ratio will always be less than 1.0.</w:t>
      </w:r>
    </w:p>
    <w:p w14:paraId="52803C40"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Thresholds for this indicator are set </w:t>
      </w:r>
      <w:proofErr w:type="gramStart"/>
      <w:r w:rsidRPr="002F3331">
        <w:rPr>
          <w:rFonts w:ascii="Trebuchet MS" w:eastAsia="Times New Roman" w:hAnsi="Trebuchet MS" w:cs="Arial"/>
          <w:color w:val="0B0C0C"/>
          <w:lang w:eastAsia="en-GB"/>
        </w:rPr>
        <w:t>on the basis of</w:t>
      </w:r>
      <w:proofErr w:type="gramEnd"/>
      <w:r w:rsidRPr="002F3331">
        <w:rPr>
          <w:rFonts w:ascii="Trebuchet MS" w:eastAsia="Times New Roman" w:hAnsi="Trebuchet MS" w:cs="Arial"/>
          <w:color w:val="0B0C0C"/>
          <w:lang w:eastAsia="en-GB"/>
        </w:rPr>
        <w:t> ASCL’s aspirational target of 0.78.</w:t>
      </w:r>
    </w:p>
    <w:tbl>
      <w:tblPr>
        <w:tblW w:w="10688" w:type="dxa"/>
        <w:tblCellMar>
          <w:left w:w="0" w:type="dxa"/>
          <w:right w:w="0" w:type="dxa"/>
        </w:tblCellMar>
        <w:tblLook w:val="04A0" w:firstRow="1" w:lastRow="0" w:firstColumn="1" w:lastColumn="0" w:noHBand="0" w:noVBand="1"/>
      </w:tblPr>
      <w:tblGrid>
        <w:gridCol w:w="9470"/>
        <w:gridCol w:w="1218"/>
      </w:tblGrid>
      <w:tr w:rsidR="008D3968" w:rsidRPr="002F3331" w14:paraId="3295B21F"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1C94406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7E76E755"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6BF15112"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3DF2E0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an average teacher contact ratio of over 0.82 or below 0.70</w:t>
            </w:r>
          </w:p>
        </w:tc>
        <w:tc>
          <w:tcPr>
            <w:tcW w:w="0" w:type="auto"/>
            <w:tcBorders>
              <w:top w:val="nil"/>
              <w:left w:val="nil"/>
              <w:bottom w:val="single" w:sz="6" w:space="0" w:color="B1B4B6"/>
              <w:right w:val="nil"/>
            </w:tcBorders>
            <w:tcMar>
              <w:top w:w="150" w:type="dxa"/>
              <w:left w:w="0" w:type="dxa"/>
              <w:bottom w:w="150" w:type="dxa"/>
              <w:right w:w="150" w:type="dxa"/>
            </w:tcMar>
            <w:hideMark/>
          </w:tcPr>
          <w:p w14:paraId="13F65396"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793319A3"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3C0067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an average teacher contact ratio of between 0.80 and 0.82 or between 0.70 and 0.74</w:t>
            </w:r>
          </w:p>
        </w:tc>
        <w:tc>
          <w:tcPr>
            <w:tcW w:w="0" w:type="auto"/>
            <w:tcBorders>
              <w:top w:val="nil"/>
              <w:left w:val="nil"/>
              <w:bottom w:val="single" w:sz="6" w:space="0" w:color="B1B4B6"/>
              <w:right w:val="nil"/>
            </w:tcBorders>
            <w:tcMar>
              <w:top w:w="150" w:type="dxa"/>
              <w:left w:w="0" w:type="dxa"/>
              <w:bottom w:w="150" w:type="dxa"/>
              <w:right w:w="150" w:type="dxa"/>
            </w:tcMar>
            <w:hideMark/>
          </w:tcPr>
          <w:p w14:paraId="18C5D96E"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1D535B0B"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86B89C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an average teacher contact ratio of between 0.74 and 0.80</w:t>
            </w:r>
          </w:p>
        </w:tc>
        <w:tc>
          <w:tcPr>
            <w:tcW w:w="0" w:type="auto"/>
            <w:tcBorders>
              <w:top w:val="nil"/>
              <w:left w:val="nil"/>
              <w:bottom w:val="single" w:sz="6" w:space="0" w:color="B1B4B6"/>
              <w:right w:val="nil"/>
            </w:tcBorders>
            <w:tcMar>
              <w:top w:w="150" w:type="dxa"/>
              <w:left w:w="0" w:type="dxa"/>
              <w:bottom w:w="150" w:type="dxa"/>
              <w:right w:w="150" w:type="dxa"/>
            </w:tcMar>
            <w:hideMark/>
          </w:tcPr>
          <w:p w14:paraId="1090C7F2"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21D87D74"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Predicted percentage pupil number change in 3 to 5 years</w:t>
      </w:r>
    </w:p>
    <w:p w14:paraId="0951976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 xml:space="preserve">Schools should be making </w:t>
      </w:r>
      <w:proofErr w:type="gramStart"/>
      <w:r w:rsidRPr="002F3331">
        <w:rPr>
          <w:rFonts w:ascii="Trebuchet MS" w:eastAsia="Times New Roman" w:hAnsi="Trebuchet MS" w:cs="Arial"/>
          <w:color w:val="0B0C0C"/>
          <w:lang w:eastAsia="en-GB"/>
        </w:rPr>
        <w:t>3 to 5 year</w:t>
      </w:r>
      <w:proofErr w:type="gramEnd"/>
      <w:r w:rsidRPr="002F3331">
        <w:rPr>
          <w:rFonts w:ascii="Trebuchet MS" w:eastAsia="Times New Roman" w:hAnsi="Trebuchet MS" w:cs="Arial"/>
          <w:color w:val="0B0C0C"/>
          <w:lang w:eastAsia="en-GB"/>
        </w:rPr>
        <w:t xml:space="preserve"> financial projections and assumptions. A key factor determining a school’s finances is pupil numbers.</w:t>
      </w:r>
    </w:p>
    <w:p w14:paraId="1A2ABA44"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will receive an amber or red rating on this indicator if they are predicting a significant decrease in pupil numbers over that period.</w:t>
      </w:r>
    </w:p>
    <w:p w14:paraId="743886B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Predicting a significant reduction in pupil numbers over this period risks implying that the school may not be financially sustainable in the medium term.</w:t>
      </w:r>
    </w:p>
    <w:p w14:paraId="3795D7CD"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school should consider how medium-term budgets may be affected by the pupil projections and what could be put in place now to mitigate risks and ensure it has the necessary funding in the future.</w:t>
      </w:r>
    </w:p>
    <w:p w14:paraId="0A84B6E8"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predicting a reduction in pupil numbers of more than 10% receive a red rating; schools predicting a reduction in pupil numbers of between 2% and 10% receive an amber rating; and all others receive a light green rating.</w:t>
      </w:r>
    </w:p>
    <w:p w14:paraId="2069972F" w14:textId="77777777" w:rsidR="008D3968" w:rsidRPr="002F3331" w:rsidRDefault="008D3968" w:rsidP="00DE2E5D">
      <w:pPr>
        <w:shd w:val="clear" w:color="auto" w:fill="FFFFFF"/>
        <w:spacing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Average class size</w:t>
      </w:r>
    </w:p>
    <w:p w14:paraId="0DD9A2B2"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Average class sizes are a key determinant of the cost of running a school.</w:t>
      </w:r>
    </w:p>
    <w:p w14:paraId="7143381D"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will receive an amber or red rating on this indicator if their average class size is significantly lower or higher than other schools.</w:t>
      </w:r>
    </w:p>
    <w:p w14:paraId="3ACCAC3E"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should understand their rating and whether any changes are required to achieve better resource management.</w:t>
      </w:r>
    </w:p>
    <w:p w14:paraId="58F89C2A"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 relatively low average class size could imply that the per-pupil funding does not cover the cost of delivering the class and may not be an effective use of resources.</w:t>
      </w:r>
    </w:p>
    <w:p w14:paraId="548BE8B3"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A relatively large average class size may affect pupil outcomes and teacher </w:t>
      </w:r>
      <w:proofErr w:type="gramStart"/>
      <w:r w:rsidRPr="002F3331">
        <w:rPr>
          <w:rFonts w:ascii="Trebuchet MS" w:eastAsia="Times New Roman" w:hAnsi="Trebuchet MS" w:cs="Arial"/>
          <w:color w:val="0B0C0C"/>
          <w:lang w:eastAsia="en-GB"/>
        </w:rPr>
        <w:t>workload, and</w:t>
      </w:r>
      <w:proofErr w:type="gramEnd"/>
      <w:r w:rsidRPr="002F3331">
        <w:rPr>
          <w:rFonts w:ascii="Trebuchet MS" w:eastAsia="Times New Roman" w:hAnsi="Trebuchet MS" w:cs="Arial"/>
          <w:color w:val="0B0C0C"/>
          <w:lang w:eastAsia="en-GB"/>
        </w:rPr>
        <w:t xml:space="preserve"> may contribute to higher costs in other areas of the budget.</w:t>
      </w:r>
    </w:p>
    <w:p w14:paraId="166AF505"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for this indicator are determined by comparing the average size of a one-teacher class amongst similar schools.</w:t>
      </w:r>
    </w:p>
    <w:tbl>
      <w:tblPr>
        <w:tblW w:w="10688" w:type="dxa"/>
        <w:tblCellMar>
          <w:left w:w="0" w:type="dxa"/>
          <w:right w:w="0" w:type="dxa"/>
        </w:tblCellMar>
        <w:tblLook w:val="04A0" w:firstRow="1" w:lastRow="0" w:firstColumn="1" w:lastColumn="0" w:noHBand="0" w:noVBand="1"/>
      </w:tblPr>
      <w:tblGrid>
        <w:gridCol w:w="8204"/>
        <w:gridCol w:w="2484"/>
      </w:tblGrid>
      <w:tr w:rsidR="008D3968" w:rsidRPr="002F3331" w14:paraId="17241458"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20467A1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4AC588F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58B8D23C"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E2D38A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07E4345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037D4E07"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5661F77"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Upper and lower 10% to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79D1DFA2"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29D138C6"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792725E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Middle 20% of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6DE5F412"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r w:rsidR="008D3968" w:rsidRPr="002F3331" w14:paraId="60AB7618"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A7BBC8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All other schools</w:t>
            </w:r>
          </w:p>
        </w:tc>
        <w:tc>
          <w:tcPr>
            <w:tcW w:w="0" w:type="auto"/>
            <w:tcBorders>
              <w:top w:val="nil"/>
              <w:left w:val="nil"/>
              <w:bottom w:val="single" w:sz="6" w:space="0" w:color="B1B4B6"/>
              <w:right w:val="nil"/>
            </w:tcBorders>
            <w:tcMar>
              <w:top w:w="150" w:type="dxa"/>
              <w:left w:w="0" w:type="dxa"/>
              <w:bottom w:w="150" w:type="dxa"/>
              <w:right w:w="150" w:type="dxa"/>
            </w:tcMar>
            <w:hideMark/>
          </w:tcPr>
          <w:p w14:paraId="57FB59A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bl>
    <w:p w14:paraId="2CDE5E6C" w14:textId="77777777" w:rsidR="008D3968" w:rsidRPr="002F3331" w:rsidRDefault="008D3968" w:rsidP="008D3968">
      <w:pPr>
        <w:shd w:val="clear" w:color="auto" w:fill="FFFFFF"/>
        <w:spacing w:before="1200" w:after="0" w:line="240" w:lineRule="auto"/>
        <w:textAlignment w:val="baseline"/>
        <w:outlineLvl w:val="1"/>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E. Outcomes</w:t>
      </w:r>
    </w:p>
    <w:p w14:paraId="432CE0B0" w14:textId="77777777" w:rsidR="00DE2E5D" w:rsidRDefault="00DE2E5D" w:rsidP="00DE2E5D">
      <w:pPr>
        <w:shd w:val="clear" w:color="auto" w:fill="FFFFFF"/>
        <w:spacing w:after="0" w:line="240" w:lineRule="auto"/>
        <w:textAlignment w:val="baseline"/>
        <w:outlineLvl w:val="2"/>
        <w:rPr>
          <w:rFonts w:ascii="Trebuchet MS" w:eastAsia="Times New Roman" w:hAnsi="Trebuchet MS" w:cs="Arial"/>
          <w:b/>
          <w:bCs/>
          <w:color w:val="0B0C0C"/>
          <w:lang w:eastAsia="en-GB"/>
        </w:rPr>
      </w:pPr>
    </w:p>
    <w:p w14:paraId="69D917B2" w14:textId="60E4C380" w:rsidR="008D3968" w:rsidRPr="002F3331" w:rsidRDefault="008D3968" w:rsidP="00DE2E5D">
      <w:pPr>
        <w:shd w:val="clear" w:color="auto" w:fill="FFFFFF"/>
        <w:spacing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Ofsted rating</w:t>
      </w:r>
    </w:p>
    <w:p w14:paraId="486EE5E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 xml:space="preserve">Schools should select their most recent Ofsted rating from the </w:t>
      </w:r>
      <w:proofErr w:type="gramStart"/>
      <w:r w:rsidRPr="002F3331">
        <w:rPr>
          <w:rFonts w:ascii="Trebuchet MS" w:eastAsia="Times New Roman" w:hAnsi="Trebuchet MS" w:cs="Arial"/>
          <w:color w:val="0B0C0C"/>
          <w:lang w:eastAsia="en-GB"/>
        </w:rPr>
        <w:t>drop down</w:t>
      </w:r>
      <w:proofErr w:type="gramEnd"/>
      <w:r w:rsidRPr="002F3331">
        <w:rPr>
          <w:rFonts w:ascii="Trebuchet MS" w:eastAsia="Times New Roman" w:hAnsi="Trebuchet MS" w:cs="Arial"/>
          <w:color w:val="0B0C0C"/>
          <w:lang w:eastAsia="en-GB"/>
        </w:rPr>
        <w:t xml:space="preserve"> list.</w:t>
      </w:r>
    </w:p>
    <w:p w14:paraId="61777BE7"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rated Inadequate receive a red rating; schools rated Requires Improvement receive an amber rating; schools rated Good receive a light green rating; and schools rated Outstanding receive a dark green rating.</w:t>
      </w:r>
    </w:p>
    <w:p w14:paraId="3FD93FB5"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Progress 8 score</w:t>
      </w:r>
    </w:p>
    <w:p w14:paraId="0C6DE716"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Progress 8 scores show how much progress pupils have made between the end of key stage 2 and the end of key stage 4, compared to pupils across all of England who got similar results at the end of key stage 2. This measure only applies to schools with key stage 4.</w:t>
      </w:r>
    </w:p>
    <w:p w14:paraId="6F46F2C8"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will receive an amber or red rating if their progress score is below average.</w:t>
      </w:r>
    </w:p>
    <w:p w14:paraId="0FDCE0EA"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27AD2708"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Progress scores can be found on the </w:t>
      </w:r>
      <w:hyperlink r:id="rId21" w:history="1">
        <w:r w:rsidRPr="002F3331">
          <w:rPr>
            <w:rFonts w:ascii="Trebuchet MS" w:eastAsia="Times New Roman" w:hAnsi="Trebuchet MS" w:cs="Arial"/>
            <w:color w:val="1D70B8"/>
            <w:u w:val="single"/>
            <w:bdr w:val="none" w:sz="0" w:space="0" w:color="auto" w:frame="1"/>
            <w:lang w:eastAsia="en-GB"/>
          </w:rPr>
          <w:t>school performance tables website</w:t>
        </w:r>
      </w:hyperlink>
      <w:r w:rsidRPr="002F3331">
        <w:rPr>
          <w:rFonts w:ascii="Trebuchet MS" w:eastAsia="Times New Roman" w:hAnsi="Trebuchet MS" w:cs="Arial"/>
          <w:color w:val="0B0C0C"/>
          <w:lang w:eastAsia="en-GB"/>
        </w:rPr>
        <w:t>.</w:t>
      </w:r>
    </w:p>
    <w:p w14:paraId="38BF3653" w14:textId="77777777" w:rsidR="008D3968" w:rsidRPr="002F3331" w:rsidRDefault="008D3968" w:rsidP="008D3968">
      <w:pPr>
        <w:shd w:val="clear" w:color="auto" w:fill="FFFFFF"/>
        <w:spacing w:before="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have been set using the department’s progress measure bandings.</w:t>
      </w:r>
    </w:p>
    <w:tbl>
      <w:tblPr>
        <w:tblW w:w="10688" w:type="dxa"/>
        <w:tblCellMar>
          <w:left w:w="0" w:type="dxa"/>
          <w:right w:w="0" w:type="dxa"/>
        </w:tblCellMar>
        <w:tblLook w:val="04A0" w:firstRow="1" w:lastRow="0" w:firstColumn="1" w:lastColumn="0" w:noHBand="0" w:noVBand="1"/>
      </w:tblPr>
      <w:tblGrid>
        <w:gridCol w:w="8209"/>
        <w:gridCol w:w="2479"/>
      </w:tblGrid>
      <w:tr w:rsidR="008D3968" w:rsidRPr="002F3331" w14:paraId="7D39967A"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1A93CE85"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336678EB"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1B7B66F7"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54EAE9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Progress 8 score of -0.5 or lower</w:t>
            </w:r>
          </w:p>
        </w:tc>
        <w:tc>
          <w:tcPr>
            <w:tcW w:w="0" w:type="auto"/>
            <w:tcBorders>
              <w:top w:val="nil"/>
              <w:left w:val="nil"/>
              <w:bottom w:val="single" w:sz="6" w:space="0" w:color="B1B4B6"/>
              <w:right w:val="nil"/>
            </w:tcBorders>
            <w:tcMar>
              <w:top w:w="150" w:type="dxa"/>
              <w:left w:w="0" w:type="dxa"/>
              <w:bottom w:w="150" w:type="dxa"/>
              <w:right w:w="150" w:type="dxa"/>
            </w:tcMar>
            <w:hideMark/>
          </w:tcPr>
          <w:p w14:paraId="568DDD9B"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7EBAC7E7"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829DB8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Progress 8 score of between -0.5 and 0</w:t>
            </w:r>
          </w:p>
        </w:tc>
        <w:tc>
          <w:tcPr>
            <w:tcW w:w="0" w:type="auto"/>
            <w:tcBorders>
              <w:top w:val="nil"/>
              <w:left w:val="nil"/>
              <w:bottom w:val="single" w:sz="6" w:space="0" w:color="B1B4B6"/>
              <w:right w:val="nil"/>
            </w:tcBorders>
            <w:tcMar>
              <w:top w:w="150" w:type="dxa"/>
              <w:left w:w="0" w:type="dxa"/>
              <w:bottom w:w="150" w:type="dxa"/>
              <w:right w:w="150" w:type="dxa"/>
            </w:tcMar>
            <w:hideMark/>
          </w:tcPr>
          <w:p w14:paraId="28D7ED6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3EF014EF"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E93DA0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Progress 8 score of between 0 and 0.5</w:t>
            </w:r>
          </w:p>
        </w:tc>
        <w:tc>
          <w:tcPr>
            <w:tcW w:w="0" w:type="auto"/>
            <w:tcBorders>
              <w:top w:val="nil"/>
              <w:left w:val="nil"/>
              <w:bottom w:val="single" w:sz="6" w:space="0" w:color="B1B4B6"/>
              <w:right w:val="nil"/>
            </w:tcBorders>
            <w:tcMar>
              <w:top w:w="150" w:type="dxa"/>
              <w:left w:w="0" w:type="dxa"/>
              <w:bottom w:w="150" w:type="dxa"/>
              <w:right w:w="150" w:type="dxa"/>
            </w:tcMar>
            <w:hideMark/>
          </w:tcPr>
          <w:p w14:paraId="6921561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r w:rsidR="008D3968" w:rsidRPr="002F3331" w14:paraId="1286B140"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B5FDC3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Progress 8 score of greater than 0.5</w:t>
            </w:r>
          </w:p>
        </w:tc>
        <w:tc>
          <w:tcPr>
            <w:tcW w:w="0" w:type="auto"/>
            <w:tcBorders>
              <w:top w:val="nil"/>
              <w:left w:val="nil"/>
              <w:bottom w:val="single" w:sz="6" w:space="0" w:color="B1B4B6"/>
              <w:right w:val="nil"/>
            </w:tcBorders>
            <w:tcMar>
              <w:top w:w="150" w:type="dxa"/>
              <w:left w:w="0" w:type="dxa"/>
              <w:bottom w:w="150" w:type="dxa"/>
              <w:right w:w="150" w:type="dxa"/>
            </w:tcMar>
            <w:hideMark/>
          </w:tcPr>
          <w:p w14:paraId="4790A13E"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bl>
    <w:p w14:paraId="544AA30A" w14:textId="77777777" w:rsidR="008D3968" w:rsidRPr="002F3331" w:rsidRDefault="008D3968" w:rsidP="008D3968">
      <w:pPr>
        <w:shd w:val="clear" w:color="auto" w:fill="FFFFFF"/>
        <w:spacing w:before="1200" w:after="0" w:line="240" w:lineRule="auto"/>
        <w:textAlignment w:val="baseline"/>
        <w:outlineLvl w:val="2"/>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Progress scores in reading, writing and maths</w:t>
      </w:r>
    </w:p>
    <w:p w14:paraId="4E5D98B7"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Progress scores for reading, writing and maths show how much progress pupils have made between the end of key stage 1 and the end of key stage 2, compared to pupils across all of England who achieved similar results at the end of key stage 1. This measure only applies to schools with key stage 2 classes.</w:t>
      </w:r>
    </w:p>
    <w:p w14:paraId="77B87566"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Schools will receive an amber or red rating if their progress score is below average.</w:t>
      </w:r>
    </w:p>
    <w:p w14:paraId="7A7CD0D9" w14:textId="77777777" w:rsidR="008D3968" w:rsidRPr="002F3331" w:rsidRDefault="008D3968" w:rsidP="008D3968">
      <w:pPr>
        <w:shd w:val="clear" w:color="auto" w:fill="FFFFFF"/>
        <w:spacing w:before="525" w:after="0"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Calculating your data</w:t>
      </w:r>
    </w:p>
    <w:p w14:paraId="21650C58"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lastRenderedPageBreak/>
        <w:t>Progress scores can be found on the </w:t>
      </w:r>
      <w:hyperlink r:id="rId22" w:history="1">
        <w:r w:rsidRPr="002F3331">
          <w:rPr>
            <w:rFonts w:ascii="Trebuchet MS" w:eastAsia="Times New Roman" w:hAnsi="Trebuchet MS" w:cs="Arial"/>
            <w:b/>
            <w:bCs/>
            <w:color w:val="1D70B8"/>
            <w:u w:val="single"/>
            <w:bdr w:val="none" w:sz="0" w:space="0" w:color="auto" w:frame="1"/>
            <w:lang w:eastAsia="en-GB"/>
          </w:rPr>
          <w:t>school performance tables website</w:t>
        </w:r>
      </w:hyperlink>
      <w:r w:rsidRPr="002F3331">
        <w:rPr>
          <w:rFonts w:ascii="Trebuchet MS" w:eastAsia="Times New Roman" w:hAnsi="Trebuchet MS" w:cs="Arial"/>
          <w:b/>
          <w:bCs/>
          <w:color w:val="0B0C0C"/>
          <w:bdr w:val="none" w:sz="0" w:space="0" w:color="auto" w:frame="1"/>
          <w:lang w:eastAsia="en-GB"/>
        </w:rPr>
        <w:t>.</w:t>
      </w:r>
    </w:p>
    <w:p w14:paraId="3C975B05"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Thresholds have been set using the department’s progress measure bandings.</w:t>
      </w:r>
    </w:p>
    <w:p w14:paraId="158B9A7F" w14:textId="77777777" w:rsidR="008D3968" w:rsidRPr="002F3331" w:rsidRDefault="008D3968" w:rsidP="008D3968">
      <w:pPr>
        <w:shd w:val="clear" w:color="auto" w:fill="FFFFFF"/>
        <w:spacing w:before="525"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Reading</w:t>
      </w:r>
    </w:p>
    <w:tbl>
      <w:tblPr>
        <w:tblW w:w="10688" w:type="dxa"/>
        <w:tblCellMar>
          <w:left w:w="0" w:type="dxa"/>
          <w:right w:w="0" w:type="dxa"/>
        </w:tblCellMar>
        <w:tblLook w:val="04A0" w:firstRow="1" w:lastRow="0" w:firstColumn="1" w:lastColumn="0" w:noHBand="0" w:noVBand="1"/>
      </w:tblPr>
      <w:tblGrid>
        <w:gridCol w:w="8698"/>
        <w:gridCol w:w="1990"/>
      </w:tblGrid>
      <w:tr w:rsidR="008D3968" w:rsidRPr="002F3331" w14:paraId="50CB908F"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27B2BF2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0F5BD37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60752375"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C75971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less than -2.7</w:t>
            </w:r>
          </w:p>
        </w:tc>
        <w:tc>
          <w:tcPr>
            <w:tcW w:w="0" w:type="auto"/>
            <w:tcBorders>
              <w:top w:val="nil"/>
              <w:left w:val="nil"/>
              <w:bottom w:val="single" w:sz="6" w:space="0" w:color="B1B4B6"/>
              <w:right w:val="nil"/>
            </w:tcBorders>
            <w:tcMar>
              <w:top w:w="150" w:type="dxa"/>
              <w:left w:w="0" w:type="dxa"/>
              <w:bottom w:w="150" w:type="dxa"/>
              <w:right w:w="150" w:type="dxa"/>
            </w:tcMar>
            <w:hideMark/>
          </w:tcPr>
          <w:p w14:paraId="3633133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4B6578DB"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8DE30B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between -2.7 and 0</w:t>
            </w:r>
          </w:p>
        </w:tc>
        <w:tc>
          <w:tcPr>
            <w:tcW w:w="0" w:type="auto"/>
            <w:tcBorders>
              <w:top w:val="nil"/>
              <w:left w:val="nil"/>
              <w:bottom w:val="single" w:sz="6" w:space="0" w:color="B1B4B6"/>
              <w:right w:val="nil"/>
            </w:tcBorders>
            <w:tcMar>
              <w:top w:w="150" w:type="dxa"/>
              <w:left w:w="0" w:type="dxa"/>
              <w:bottom w:w="150" w:type="dxa"/>
              <w:right w:w="150" w:type="dxa"/>
            </w:tcMar>
            <w:hideMark/>
          </w:tcPr>
          <w:p w14:paraId="4EFFEE4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7C079648"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EDA399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between 0 and 3.2</w:t>
            </w:r>
          </w:p>
        </w:tc>
        <w:tc>
          <w:tcPr>
            <w:tcW w:w="0" w:type="auto"/>
            <w:tcBorders>
              <w:top w:val="nil"/>
              <w:left w:val="nil"/>
              <w:bottom w:val="single" w:sz="6" w:space="0" w:color="B1B4B6"/>
              <w:right w:val="nil"/>
            </w:tcBorders>
            <w:tcMar>
              <w:top w:w="150" w:type="dxa"/>
              <w:left w:w="0" w:type="dxa"/>
              <w:bottom w:w="150" w:type="dxa"/>
              <w:right w:w="150" w:type="dxa"/>
            </w:tcMar>
            <w:hideMark/>
          </w:tcPr>
          <w:p w14:paraId="64DFE2AB"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r w:rsidR="008D3968" w:rsidRPr="002F3331" w14:paraId="0FEDE591"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A1D320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greater than 3.2</w:t>
            </w:r>
          </w:p>
        </w:tc>
        <w:tc>
          <w:tcPr>
            <w:tcW w:w="0" w:type="auto"/>
            <w:tcBorders>
              <w:top w:val="nil"/>
              <w:left w:val="nil"/>
              <w:bottom w:val="single" w:sz="6" w:space="0" w:color="B1B4B6"/>
              <w:right w:val="nil"/>
            </w:tcBorders>
            <w:tcMar>
              <w:top w:w="150" w:type="dxa"/>
              <w:left w:w="0" w:type="dxa"/>
              <w:bottom w:w="150" w:type="dxa"/>
              <w:right w:w="150" w:type="dxa"/>
            </w:tcMar>
            <w:hideMark/>
          </w:tcPr>
          <w:p w14:paraId="5D1529B5"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bl>
    <w:p w14:paraId="348C92DD" w14:textId="77777777" w:rsidR="008D3968" w:rsidRPr="002F3331" w:rsidRDefault="008D3968" w:rsidP="008D3968">
      <w:pPr>
        <w:shd w:val="clear" w:color="auto" w:fill="FFFFFF"/>
        <w:spacing w:before="525"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Writing</w:t>
      </w:r>
    </w:p>
    <w:tbl>
      <w:tblPr>
        <w:tblW w:w="10688" w:type="dxa"/>
        <w:tblCellMar>
          <w:left w:w="0" w:type="dxa"/>
          <w:right w:w="0" w:type="dxa"/>
        </w:tblCellMar>
        <w:tblLook w:val="04A0" w:firstRow="1" w:lastRow="0" w:firstColumn="1" w:lastColumn="0" w:noHBand="0" w:noVBand="1"/>
      </w:tblPr>
      <w:tblGrid>
        <w:gridCol w:w="8698"/>
        <w:gridCol w:w="1990"/>
      </w:tblGrid>
      <w:tr w:rsidR="008D3968" w:rsidRPr="002F3331" w14:paraId="1D846E1C"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0FEB020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45BA776D"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78D629DF"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7C80F605"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less than -2.6</w:t>
            </w:r>
          </w:p>
        </w:tc>
        <w:tc>
          <w:tcPr>
            <w:tcW w:w="0" w:type="auto"/>
            <w:tcBorders>
              <w:top w:val="nil"/>
              <w:left w:val="nil"/>
              <w:bottom w:val="single" w:sz="6" w:space="0" w:color="B1B4B6"/>
              <w:right w:val="nil"/>
            </w:tcBorders>
            <w:tcMar>
              <w:top w:w="150" w:type="dxa"/>
              <w:left w:w="0" w:type="dxa"/>
              <w:bottom w:w="150" w:type="dxa"/>
              <w:right w:w="150" w:type="dxa"/>
            </w:tcMar>
            <w:hideMark/>
          </w:tcPr>
          <w:p w14:paraId="7A6B137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34471EEB"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B113D0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between -2.6 and 0</w:t>
            </w:r>
          </w:p>
        </w:tc>
        <w:tc>
          <w:tcPr>
            <w:tcW w:w="0" w:type="auto"/>
            <w:tcBorders>
              <w:top w:val="nil"/>
              <w:left w:val="nil"/>
              <w:bottom w:val="single" w:sz="6" w:space="0" w:color="B1B4B6"/>
              <w:right w:val="nil"/>
            </w:tcBorders>
            <w:tcMar>
              <w:top w:w="150" w:type="dxa"/>
              <w:left w:w="0" w:type="dxa"/>
              <w:bottom w:w="150" w:type="dxa"/>
              <w:right w:w="150" w:type="dxa"/>
            </w:tcMar>
            <w:hideMark/>
          </w:tcPr>
          <w:p w14:paraId="6F5F40D5"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0C985F07"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779FAC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between 0 and 2.7</w:t>
            </w:r>
          </w:p>
        </w:tc>
        <w:tc>
          <w:tcPr>
            <w:tcW w:w="0" w:type="auto"/>
            <w:tcBorders>
              <w:top w:val="nil"/>
              <w:left w:val="nil"/>
              <w:bottom w:val="single" w:sz="6" w:space="0" w:color="B1B4B6"/>
              <w:right w:val="nil"/>
            </w:tcBorders>
            <w:tcMar>
              <w:top w:w="150" w:type="dxa"/>
              <w:left w:w="0" w:type="dxa"/>
              <w:bottom w:w="150" w:type="dxa"/>
              <w:right w:w="150" w:type="dxa"/>
            </w:tcMar>
            <w:hideMark/>
          </w:tcPr>
          <w:p w14:paraId="0D979E16"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r w:rsidR="008D3968" w:rsidRPr="002F3331" w14:paraId="4AB20581"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C82496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greater than 2.7</w:t>
            </w:r>
          </w:p>
        </w:tc>
        <w:tc>
          <w:tcPr>
            <w:tcW w:w="0" w:type="auto"/>
            <w:tcBorders>
              <w:top w:val="nil"/>
              <w:left w:val="nil"/>
              <w:bottom w:val="single" w:sz="6" w:space="0" w:color="B1B4B6"/>
              <w:right w:val="nil"/>
            </w:tcBorders>
            <w:tcMar>
              <w:top w:w="150" w:type="dxa"/>
              <w:left w:w="0" w:type="dxa"/>
              <w:bottom w:w="150" w:type="dxa"/>
              <w:right w:w="150" w:type="dxa"/>
            </w:tcMar>
            <w:hideMark/>
          </w:tcPr>
          <w:p w14:paraId="3D463D7F"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bl>
    <w:p w14:paraId="2A8A13EF" w14:textId="77777777" w:rsidR="008D3968" w:rsidRPr="002F3331" w:rsidRDefault="008D3968" w:rsidP="008D3968">
      <w:pPr>
        <w:shd w:val="clear" w:color="auto" w:fill="FFFFFF"/>
        <w:spacing w:before="525" w:line="240" w:lineRule="auto"/>
        <w:textAlignment w:val="baseline"/>
        <w:outlineLvl w:val="3"/>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Maths</w:t>
      </w:r>
    </w:p>
    <w:tbl>
      <w:tblPr>
        <w:tblW w:w="10688" w:type="dxa"/>
        <w:tblCellMar>
          <w:left w:w="0" w:type="dxa"/>
          <w:right w:w="0" w:type="dxa"/>
        </w:tblCellMar>
        <w:tblLook w:val="04A0" w:firstRow="1" w:lastRow="0" w:firstColumn="1" w:lastColumn="0" w:noHBand="0" w:noVBand="1"/>
      </w:tblPr>
      <w:tblGrid>
        <w:gridCol w:w="8698"/>
        <w:gridCol w:w="1990"/>
      </w:tblGrid>
      <w:tr w:rsidR="008D3968" w:rsidRPr="002F3331" w14:paraId="267C70DD"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0E2B8B2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w:t>
            </w:r>
          </w:p>
        </w:tc>
        <w:tc>
          <w:tcPr>
            <w:tcW w:w="0" w:type="auto"/>
            <w:tcBorders>
              <w:top w:val="nil"/>
              <w:left w:val="nil"/>
              <w:bottom w:val="single" w:sz="6" w:space="0" w:color="B1B4B6"/>
              <w:right w:val="nil"/>
            </w:tcBorders>
            <w:tcMar>
              <w:top w:w="150" w:type="dxa"/>
              <w:left w:w="0" w:type="dxa"/>
              <w:bottom w:w="150" w:type="dxa"/>
              <w:right w:w="150" w:type="dxa"/>
            </w:tcMar>
            <w:hideMark/>
          </w:tcPr>
          <w:p w14:paraId="3785E3A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RAG rating</w:t>
            </w:r>
          </w:p>
        </w:tc>
      </w:tr>
      <w:tr w:rsidR="008D3968" w:rsidRPr="002F3331" w14:paraId="0B75EA88"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F02A24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less than -3.1</w:t>
            </w:r>
          </w:p>
        </w:tc>
        <w:tc>
          <w:tcPr>
            <w:tcW w:w="0" w:type="auto"/>
            <w:tcBorders>
              <w:top w:val="nil"/>
              <w:left w:val="nil"/>
              <w:bottom w:val="single" w:sz="6" w:space="0" w:color="B1B4B6"/>
              <w:right w:val="nil"/>
            </w:tcBorders>
            <w:tcMar>
              <w:top w:w="150" w:type="dxa"/>
              <w:left w:w="0" w:type="dxa"/>
              <w:bottom w:w="150" w:type="dxa"/>
              <w:right w:w="150" w:type="dxa"/>
            </w:tcMar>
            <w:hideMark/>
          </w:tcPr>
          <w:p w14:paraId="73186F62"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Red</w:t>
            </w:r>
          </w:p>
        </w:tc>
      </w:tr>
      <w:tr w:rsidR="008D3968" w:rsidRPr="002F3331" w14:paraId="7B2721D1"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5B3147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between -3.1 and 0</w:t>
            </w:r>
          </w:p>
        </w:tc>
        <w:tc>
          <w:tcPr>
            <w:tcW w:w="0" w:type="auto"/>
            <w:tcBorders>
              <w:top w:val="nil"/>
              <w:left w:val="nil"/>
              <w:bottom w:val="single" w:sz="6" w:space="0" w:color="B1B4B6"/>
              <w:right w:val="nil"/>
            </w:tcBorders>
            <w:tcMar>
              <w:top w:w="150" w:type="dxa"/>
              <w:left w:w="0" w:type="dxa"/>
              <w:bottom w:w="150" w:type="dxa"/>
              <w:right w:w="150" w:type="dxa"/>
            </w:tcMar>
            <w:hideMark/>
          </w:tcPr>
          <w:p w14:paraId="0225B1E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Amber</w:t>
            </w:r>
          </w:p>
        </w:tc>
      </w:tr>
      <w:tr w:rsidR="008D3968" w:rsidRPr="002F3331" w14:paraId="4F3F1764"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749378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between 0 and 3.2</w:t>
            </w:r>
          </w:p>
        </w:tc>
        <w:tc>
          <w:tcPr>
            <w:tcW w:w="0" w:type="auto"/>
            <w:tcBorders>
              <w:top w:val="nil"/>
              <w:left w:val="nil"/>
              <w:bottom w:val="single" w:sz="6" w:space="0" w:color="B1B4B6"/>
              <w:right w:val="nil"/>
            </w:tcBorders>
            <w:tcMar>
              <w:top w:w="150" w:type="dxa"/>
              <w:left w:w="0" w:type="dxa"/>
              <w:bottom w:w="150" w:type="dxa"/>
              <w:right w:w="150" w:type="dxa"/>
            </w:tcMar>
            <w:hideMark/>
          </w:tcPr>
          <w:p w14:paraId="3EE4167A"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Light green</w:t>
            </w:r>
          </w:p>
        </w:tc>
      </w:tr>
      <w:tr w:rsidR="008D3968" w:rsidRPr="002F3331" w14:paraId="1F733CAE"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27145B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Schools with a progress score of greater than 3.2</w:t>
            </w:r>
          </w:p>
        </w:tc>
        <w:tc>
          <w:tcPr>
            <w:tcW w:w="0" w:type="auto"/>
            <w:tcBorders>
              <w:top w:val="nil"/>
              <w:left w:val="nil"/>
              <w:bottom w:val="single" w:sz="6" w:space="0" w:color="B1B4B6"/>
              <w:right w:val="nil"/>
            </w:tcBorders>
            <w:tcMar>
              <w:top w:w="150" w:type="dxa"/>
              <w:left w:w="0" w:type="dxa"/>
              <w:bottom w:w="150" w:type="dxa"/>
              <w:right w:w="150" w:type="dxa"/>
            </w:tcMar>
            <w:hideMark/>
          </w:tcPr>
          <w:p w14:paraId="0E8BACDC"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Dark green</w:t>
            </w:r>
          </w:p>
        </w:tc>
      </w:tr>
    </w:tbl>
    <w:p w14:paraId="22EBA100" w14:textId="77777777" w:rsidR="008D3968" w:rsidRPr="002F3331" w:rsidRDefault="008D3968" w:rsidP="008D3968">
      <w:pPr>
        <w:shd w:val="clear" w:color="auto" w:fill="FFFFFF"/>
        <w:spacing w:before="1200" w:after="0" w:line="240" w:lineRule="auto"/>
        <w:textAlignment w:val="baseline"/>
        <w:outlineLvl w:val="1"/>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Technical explanation</w:t>
      </w:r>
    </w:p>
    <w:p w14:paraId="448C42E8"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Using the latest available data on schools and academies spend and characteristics, we have calculated thresholds for:</w:t>
      </w:r>
    </w:p>
    <w:p w14:paraId="53EFAA2D" w14:textId="77777777" w:rsidR="008D3968" w:rsidRPr="002F3331" w:rsidRDefault="008D3968" w:rsidP="008D3968">
      <w:pPr>
        <w:numPr>
          <w:ilvl w:val="0"/>
          <w:numId w:val="7"/>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section B (spending as a percentage of total expenditure)</w:t>
      </w:r>
    </w:p>
    <w:p w14:paraId="2C606FC4" w14:textId="77777777" w:rsidR="008D3968" w:rsidRPr="002F3331" w:rsidRDefault="008D3968" w:rsidP="008D3968">
      <w:pPr>
        <w:numPr>
          <w:ilvl w:val="0"/>
          <w:numId w:val="7"/>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senior leaders as a percentage of workforce</w:t>
      </w:r>
    </w:p>
    <w:p w14:paraId="0AAC8FDE" w14:textId="77777777" w:rsidR="008D3968" w:rsidRPr="002F3331" w:rsidRDefault="008D3968" w:rsidP="008D3968">
      <w:pPr>
        <w:numPr>
          <w:ilvl w:val="0"/>
          <w:numId w:val="7"/>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pupil to teacher ratio</w:t>
      </w:r>
    </w:p>
    <w:p w14:paraId="1917ED13" w14:textId="77777777" w:rsidR="008D3968" w:rsidRPr="002F3331" w:rsidRDefault="008D3968" w:rsidP="008D3968">
      <w:pPr>
        <w:numPr>
          <w:ilvl w:val="0"/>
          <w:numId w:val="7"/>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pupil to adult ratio</w:t>
      </w:r>
    </w:p>
    <w:p w14:paraId="45EEB8EF" w14:textId="77777777" w:rsidR="008D3968" w:rsidRPr="002F3331" w:rsidRDefault="008D3968" w:rsidP="008D3968">
      <w:pPr>
        <w:numPr>
          <w:ilvl w:val="0"/>
          <w:numId w:val="7"/>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average class size</w:t>
      </w:r>
    </w:p>
    <w:p w14:paraId="72398A27"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For each of these indicators, schools are put into one of the following categories:</w:t>
      </w:r>
    </w:p>
    <w:p w14:paraId="2475F880"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very small primary schools with low free school meals (FSM) rates</w:t>
      </w:r>
    </w:p>
    <w:p w14:paraId="5CCB0391"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very small primary schools with medium FSM rates</w:t>
      </w:r>
    </w:p>
    <w:p w14:paraId="7354ACF0"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very small primary schools with high FSM rates</w:t>
      </w:r>
    </w:p>
    <w:p w14:paraId="127B562C"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small primary schools with low FSM rates</w:t>
      </w:r>
    </w:p>
    <w:p w14:paraId="20A58784"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small primary schools with medium FSM rates</w:t>
      </w:r>
    </w:p>
    <w:p w14:paraId="094C88E8"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small primary schools with high FSM rates</w:t>
      </w:r>
    </w:p>
    <w:p w14:paraId="582CD75D"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medium primary schools with low FSM rates</w:t>
      </w:r>
    </w:p>
    <w:p w14:paraId="4B4EF5A2"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medium primary schools with medium FSM rates</w:t>
      </w:r>
    </w:p>
    <w:p w14:paraId="2F322271"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medium primary schools with high FSM rates</w:t>
      </w:r>
    </w:p>
    <w:p w14:paraId="316013AE"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large primary schools with low FSM rates</w:t>
      </w:r>
    </w:p>
    <w:p w14:paraId="4DDFD0C1"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large primary schools with medium FSM rates</w:t>
      </w:r>
    </w:p>
    <w:p w14:paraId="1E584E16"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large primary schools with high FSM rates</w:t>
      </w:r>
    </w:p>
    <w:p w14:paraId="3CB870E4"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small secondary schools with a sixth form and low FSM rates</w:t>
      </w:r>
    </w:p>
    <w:p w14:paraId="0ACFBEF0"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small secondary schools with a sixth form and medium FSM rates</w:t>
      </w:r>
    </w:p>
    <w:p w14:paraId="5EDCA413"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small secondary schools with a sixth form and high FSM rates</w:t>
      </w:r>
    </w:p>
    <w:p w14:paraId="518F5128"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medium secondary schools with a sixth form and low FSM rates</w:t>
      </w:r>
    </w:p>
    <w:p w14:paraId="022946B9"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medium secondary schools with a sixth form and medium FSM rates</w:t>
      </w:r>
    </w:p>
    <w:p w14:paraId="048ADCDC"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medium secondary schools with a sixth form and high FSM rates</w:t>
      </w:r>
    </w:p>
    <w:p w14:paraId="5E47997F"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large secondary schools with a sixth form and low FSM rates</w:t>
      </w:r>
    </w:p>
    <w:p w14:paraId="7BD88918"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large secondary schools with a sixth form and medium FSM rates</w:t>
      </w:r>
    </w:p>
    <w:p w14:paraId="3D106B2F"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large secondary schools with a sixth form and high FSM rates</w:t>
      </w:r>
    </w:p>
    <w:p w14:paraId="39ECC184"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small secondary schools with no sixth form and low FSM rates</w:t>
      </w:r>
    </w:p>
    <w:p w14:paraId="4AC8BDD1"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small secondary schools with no sixth form and medium FSM rates</w:t>
      </w:r>
    </w:p>
    <w:p w14:paraId="1226E51A"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small secondary schools with no sixth form and high FSM rates</w:t>
      </w:r>
    </w:p>
    <w:p w14:paraId="792FD8AE"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medium secondary schools with no sixth form and low FSM rates</w:t>
      </w:r>
    </w:p>
    <w:p w14:paraId="3B987AEE"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medium secondary schools with no sixth form and medium FSM rates</w:t>
      </w:r>
    </w:p>
    <w:p w14:paraId="63B0CFB4"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medium secondary schools with no sixth form and high FSM rates</w:t>
      </w:r>
    </w:p>
    <w:p w14:paraId="111D2507"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large secondary schools with no sixth form and low FSM rates</w:t>
      </w:r>
    </w:p>
    <w:p w14:paraId="262241F4"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large secondary schools with no sixth form and medium FSM rates</w:t>
      </w:r>
    </w:p>
    <w:p w14:paraId="0B490144"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large secondary schools with no sixth form and high FSM rates</w:t>
      </w:r>
    </w:p>
    <w:p w14:paraId="0AC23618"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all-through schools</w:t>
      </w:r>
    </w:p>
    <w:p w14:paraId="57A1E686"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special schools</w:t>
      </w:r>
    </w:p>
    <w:p w14:paraId="7915782B"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alternative provision and PRUs</w:t>
      </w:r>
    </w:p>
    <w:p w14:paraId="47B0137D" w14:textId="77777777" w:rsidR="008D3968" w:rsidRPr="002F3331" w:rsidRDefault="008D3968" w:rsidP="008D3968">
      <w:pPr>
        <w:numPr>
          <w:ilvl w:val="0"/>
          <w:numId w:val="8"/>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nursery schools</w:t>
      </w:r>
    </w:p>
    <w:p w14:paraId="48E884A4"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We have explored including additional factors, including whether the school is rural or urban, and the percentage of pupils with special educational needs. These did not affect the resulting RAG ratings significantly, so we have left them out for simplicity. We will keep this under review as new data becomes available.</w:t>
      </w:r>
    </w:p>
    <w:p w14:paraId="1B356671"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definition of small, medium, and large schools is set using quartiles.</w:t>
      </w:r>
    </w:p>
    <w:p w14:paraId="6AA7AEE0"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Primary schools</w:t>
      </w:r>
    </w:p>
    <w:tbl>
      <w:tblPr>
        <w:tblW w:w="10688" w:type="dxa"/>
        <w:tblCellMar>
          <w:left w:w="0" w:type="dxa"/>
          <w:right w:w="0" w:type="dxa"/>
        </w:tblCellMar>
        <w:tblLook w:val="04A0" w:firstRow="1" w:lastRow="0" w:firstColumn="1" w:lastColumn="0" w:noHBand="0" w:noVBand="1"/>
      </w:tblPr>
      <w:tblGrid>
        <w:gridCol w:w="5888"/>
        <w:gridCol w:w="4800"/>
      </w:tblGrid>
      <w:tr w:rsidR="008D3968" w:rsidRPr="002F3331" w14:paraId="781341C6"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3DECBF8F"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Number of pupils</w:t>
            </w:r>
          </w:p>
        </w:tc>
        <w:tc>
          <w:tcPr>
            <w:tcW w:w="0" w:type="auto"/>
            <w:tcBorders>
              <w:top w:val="nil"/>
              <w:left w:val="nil"/>
              <w:bottom w:val="single" w:sz="6" w:space="0" w:color="B1B4B6"/>
              <w:right w:val="nil"/>
            </w:tcBorders>
            <w:tcMar>
              <w:top w:w="150" w:type="dxa"/>
              <w:left w:w="0" w:type="dxa"/>
              <w:bottom w:w="150" w:type="dxa"/>
              <w:right w:w="150" w:type="dxa"/>
            </w:tcMar>
            <w:hideMark/>
          </w:tcPr>
          <w:p w14:paraId="3E7DB847"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Size of school</w:t>
            </w:r>
          </w:p>
        </w:tc>
      </w:tr>
      <w:tr w:rsidR="008D3968" w:rsidRPr="002F3331" w14:paraId="0BFE51E8"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5CF3BC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0 to 100</w:t>
            </w:r>
          </w:p>
        </w:tc>
        <w:tc>
          <w:tcPr>
            <w:tcW w:w="0" w:type="auto"/>
            <w:tcBorders>
              <w:top w:val="nil"/>
              <w:left w:val="nil"/>
              <w:bottom w:val="single" w:sz="6" w:space="0" w:color="B1B4B6"/>
              <w:right w:val="nil"/>
            </w:tcBorders>
            <w:tcMar>
              <w:top w:w="150" w:type="dxa"/>
              <w:left w:w="0" w:type="dxa"/>
              <w:bottom w:w="150" w:type="dxa"/>
              <w:right w:w="150" w:type="dxa"/>
            </w:tcMar>
            <w:hideMark/>
          </w:tcPr>
          <w:p w14:paraId="4A35C61E"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Very small</w:t>
            </w:r>
          </w:p>
        </w:tc>
      </w:tr>
      <w:tr w:rsidR="008D3968" w:rsidRPr="002F3331" w14:paraId="4E99F381"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698DF1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101 to 175</w:t>
            </w:r>
          </w:p>
        </w:tc>
        <w:tc>
          <w:tcPr>
            <w:tcW w:w="0" w:type="auto"/>
            <w:tcBorders>
              <w:top w:val="nil"/>
              <w:left w:val="nil"/>
              <w:bottom w:val="single" w:sz="6" w:space="0" w:color="B1B4B6"/>
              <w:right w:val="nil"/>
            </w:tcBorders>
            <w:tcMar>
              <w:top w:w="150" w:type="dxa"/>
              <w:left w:w="0" w:type="dxa"/>
              <w:bottom w:w="150" w:type="dxa"/>
              <w:right w:w="150" w:type="dxa"/>
            </w:tcMar>
            <w:hideMark/>
          </w:tcPr>
          <w:p w14:paraId="21B241FB"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Small</w:t>
            </w:r>
          </w:p>
        </w:tc>
      </w:tr>
      <w:tr w:rsidR="008D3968" w:rsidRPr="002F3331" w14:paraId="706657B7"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31F73F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176 to 385</w:t>
            </w:r>
          </w:p>
        </w:tc>
        <w:tc>
          <w:tcPr>
            <w:tcW w:w="0" w:type="auto"/>
            <w:tcBorders>
              <w:top w:val="nil"/>
              <w:left w:val="nil"/>
              <w:bottom w:val="single" w:sz="6" w:space="0" w:color="B1B4B6"/>
              <w:right w:val="nil"/>
            </w:tcBorders>
            <w:tcMar>
              <w:top w:w="150" w:type="dxa"/>
              <w:left w:w="0" w:type="dxa"/>
              <w:bottom w:w="150" w:type="dxa"/>
              <w:right w:w="150" w:type="dxa"/>
            </w:tcMar>
            <w:hideMark/>
          </w:tcPr>
          <w:p w14:paraId="68B12F09"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Medium</w:t>
            </w:r>
          </w:p>
        </w:tc>
      </w:tr>
      <w:tr w:rsidR="008D3968" w:rsidRPr="002F3331" w14:paraId="4D85163B"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1400A75"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386 or more</w:t>
            </w:r>
          </w:p>
        </w:tc>
        <w:tc>
          <w:tcPr>
            <w:tcW w:w="0" w:type="auto"/>
            <w:tcBorders>
              <w:top w:val="nil"/>
              <w:left w:val="nil"/>
              <w:bottom w:val="single" w:sz="6" w:space="0" w:color="B1B4B6"/>
              <w:right w:val="nil"/>
            </w:tcBorders>
            <w:tcMar>
              <w:top w:w="150" w:type="dxa"/>
              <w:left w:w="0" w:type="dxa"/>
              <w:bottom w:w="150" w:type="dxa"/>
              <w:right w:w="150" w:type="dxa"/>
            </w:tcMar>
            <w:hideMark/>
          </w:tcPr>
          <w:p w14:paraId="30DDF176"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Large</w:t>
            </w:r>
          </w:p>
        </w:tc>
      </w:tr>
    </w:tbl>
    <w:p w14:paraId="05B2B186"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Secondary schools with a sixth form</w:t>
      </w:r>
    </w:p>
    <w:tbl>
      <w:tblPr>
        <w:tblW w:w="10688" w:type="dxa"/>
        <w:tblCellMar>
          <w:left w:w="0" w:type="dxa"/>
          <w:right w:w="0" w:type="dxa"/>
        </w:tblCellMar>
        <w:tblLook w:val="04A0" w:firstRow="1" w:lastRow="0" w:firstColumn="1" w:lastColumn="0" w:noHBand="0" w:noVBand="1"/>
      </w:tblPr>
      <w:tblGrid>
        <w:gridCol w:w="7232"/>
        <w:gridCol w:w="3456"/>
      </w:tblGrid>
      <w:tr w:rsidR="008D3968" w:rsidRPr="002F3331" w14:paraId="2D3CBE0D"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33511E3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Number of pupils</w:t>
            </w:r>
          </w:p>
        </w:tc>
        <w:tc>
          <w:tcPr>
            <w:tcW w:w="0" w:type="auto"/>
            <w:tcBorders>
              <w:top w:val="nil"/>
              <w:left w:val="nil"/>
              <w:bottom w:val="single" w:sz="6" w:space="0" w:color="B1B4B6"/>
              <w:right w:val="nil"/>
            </w:tcBorders>
            <w:tcMar>
              <w:top w:w="150" w:type="dxa"/>
              <w:left w:w="0" w:type="dxa"/>
              <w:bottom w:w="150" w:type="dxa"/>
              <w:right w:w="150" w:type="dxa"/>
            </w:tcMar>
            <w:hideMark/>
          </w:tcPr>
          <w:p w14:paraId="4A01418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Size</w:t>
            </w:r>
          </w:p>
        </w:tc>
      </w:tr>
      <w:tr w:rsidR="008D3968" w:rsidRPr="002F3331" w14:paraId="2C7B8AB7"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E53CDEB"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0 to 770</w:t>
            </w:r>
          </w:p>
        </w:tc>
        <w:tc>
          <w:tcPr>
            <w:tcW w:w="0" w:type="auto"/>
            <w:tcBorders>
              <w:top w:val="nil"/>
              <w:left w:val="nil"/>
              <w:bottom w:val="single" w:sz="6" w:space="0" w:color="B1B4B6"/>
              <w:right w:val="nil"/>
            </w:tcBorders>
            <w:tcMar>
              <w:top w:w="150" w:type="dxa"/>
              <w:left w:w="0" w:type="dxa"/>
              <w:bottom w:w="150" w:type="dxa"/>
              <w:right w:w="150" w:type="dxa"/>
            </w:tcMar>
            <w:hideMark/>
          </w:tcPr>
          <w:p w14:paraId="400F7801"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Small</w:t>
            </w:r>
          </w:p>
        </w:tc>
      </w:tr>
      <w:tr w:rsidR="008D3968" w:rsidRPr="002F3331" w14:paraId="54B3701E"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A856BD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771 to 1,300</w:t>
            </w:r>
          </w:p>
        </w:tc>
        <w:tc>
          <w:tcPr>
            <w:tcW w:w="0" w:type="auto"/>
            <w:tcBorders>
              <w:top w:val="nil"/>
              <w:left w:val="nil"/>
              <w:bottom w:val="single" w:sz="6" w:space="0" w:color="B1B4B6"/>
              <w:right w:val="nil"/>
            </w:tcBorders>
            <w:tcMar>
              <w:top w:w="150" w:type="dxa"/>
              <w:left w:w="0" w:type="dxa"/>
              <w:bottom w:w="150" w:type="dxa"/>
              <w:right w:w="150" w:type="dxa"/>
            </w:tcMar>
            <w:hideMark/>
          </w:tcPr>
          <w:p w14:paraId="0B86FD6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Medium</w:t>
            </w:r>
          </w:p>
        </w:tc>
      </w:tr>
      <w:tr w:rsidR="008D3968" w:rsidRPr="002F3331" w14:paraId="67FC0986"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2E10EBC"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1,301 or more</w:t>
            </w:r>
          </w:p>
        </w:tc>
        <w:tc>
          <w:tcPr>
            <w:tcW w:w="0" w:type="auto"/>
            <w:tcBorders>
              <w:top w:val="nil"/>
              <w:left w:val="nil"/>
              <w:bottom w:val="single" w:sz="6" w:space="0" w:color="B1B4B6"/>
              <w:right w:val="nil"/>
            </w:tcBorders>
            <w:tcMar>
              <w:top w:w="150" w:type="dxa"/>
              <w:left w:w="0" w:type="dxa"/>
              <w:bottom w:w="150" w:type="dxa"/>
              <w:right w:w="150" w:type="dxa"/>
            </w:tcMar>
            <w:hideMark/>
          </w:tcPr>
          <w:p w14:paraId="0EFF01FD"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Large</w:t>
            </w:r>
          </w:p>
        </w:tc>
      </w:tr>
    </w:tbl>
    <w:p w14:paraId="4B063684"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Secondary schools without a sixth form</w:t>
      </w:r>
    </w:p>
    <w:tbl>
      <w:tblPr>
        <w:tblW w:w="10688" w:type="dxa"/>
        <w:tblCellMar>
          <w:left w:w="0" w:type="dxa"/>
          <w:right w:w="0" w:type="dxa"/>
        </w:tblCellMar>
        <w:tblLook w:val="04A0" w:firstRow="1" w:lastRow="0" w:firstColumn="1" w:lastColumn="0" w:noHBand="0" w:noVBand="1"/>
      </w:tblPr>
      <w:tblGrid>
        <w:gridCol w:w="7232"/>
        <w:gridCol w:w="3456"/>
      </w:tblGrid>
      <w:tr w:rsidR="008D3968" w:rsidRPr="002F3331" w14:paraId="5C17AD4F"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486641D1"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Number of pupils</w:t>
            </w:r>
          </w:p>
        </w:tc>
        <w:tc>
          <w:tcPr>
            <w:tcW w:w="0" w:type="auto"/>
            <w:tcBorders>
              <w:top w:val="nil"/>
              <w:left w:val="nil"/>
              <w:bottom w:val="single" w:sz="6" w:space="0" w:color="B1B4B6"/>
              <w:right w:val="nil"/>
            </w:tcBorders>
            <w:tcMar>
              <w:top w:w="150" w:type="dxa"/>
              <w:left w:w="0" w:type="dxa"/>
              <w:bottom w:w="150" w:type="dxa"/>
              <w:right w:w="150" w:type="dxa"/>
            </w:tcMar>
            <w:hideMark/>
          </w:tcPr>
          <w:p w14:paraId="15F7BCE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Size</w:t>
            </w:r>
          </w:p>
        </w:tc>
      </w:tr>
      <w:tr w:rsidR="008D3968" w:rsidRPr="002F3331" w14:paraId="04A1266B"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1360880B"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0 to 485</w:t>
            </w:r>
          </w:p>
        </w:tc>
        <w:tc>
          <w:tcPr>
            <w:tcW w:w="0" w:type="auto"/>
            <w:tcBorders>
              <w:top w:val="nil"/>
              <w:left w:val="nil"/>
              <w:bottom w:val="single" w:sz="6" w:space="0" w:color="B1B4B6"/>
              <w:right w:val="nil"/>
            </w:tcBorders>
            <w:tcMar>
              <w:top w:w="150" w:type="dxa"/>
              <w:left w:w="0" w:type="dxa"/>
              <w:bottom w:w="150" w:type="dxa"/>
              <w:right w:w="150" w:type="dxa"/>
            </w:tcMar>
            <w:hideMark/>
          </w:tcPr>
          <w:p w14:paraId="794FC763"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Small</w:t>
            </w:r>
          </w:p>
        </w:tc>
      </w:tr>
      <w:tr w:rsidR="008D3968" w:rsidRPr="002F3331" w14:paraId="7ED1D185"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54B7751"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486 to 935</w:t>
            </w:r>
          </w:p>
        </w:tc>
        <w:tc>
          <w:tcPr>
            <w:tcW w:w="0" w:type="auto"/>
            <w:tcBorders>
              <w:top w:val="nil"/>
              <w:left w:val="nil"/>
              <w:bottom w:val="single" w:sz="6" w:space="0" w:color="B1B4B6"/>
              <w:right w:val="nil"/>
            </w:tcBorders>
            <w:tcMar>
              <w:top w:w="150" w:type="dxa"/>
              <w:left w:w="0" w:type="dxa"/>
              <w:bottom w:w="150" w:type="dxa"/>
              <w:right w:w="150" w:type="dxa"/>
            </w:tcMar>
            <w:hideMark/>
          </w:tcPr>
          <w:p w14:paraId="2B2D2ADB"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Medium</w:t>
            </w:r>
          </w:p>
        </w:tc>
      </w:tr>
      <w:tr w:rsidR="008D3968" w:rsidRPr="002F3331" w14:paraId="79F1C2E7"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525FE3D6"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936 or more</w:t>
            </w:r>
          </w:p>
        </w:tc>
        <w:tc>
          <w:tcPr>
            <w:tcW w:w="0" w:type="auto"/>
            <w:tcBorders>
              <w:top w:val="nil"/>
              <w:left w:val="nil"/>
              <w:bottom w:val="single" w:sz="6" w:space="0" w:color="B1B4B6"/>
              <w:right w:val="nil"/>
            </w:tcBorders>
            <w:tcMar>
              <w:top w:w="150" w:type="dxa"/>
              <w:left w:w="0" w:type="dxa"/>
              <w:bottom w:w="150" w:type="dxa"/>
              <w:right w:w="150" w:type="dxa"/>
            </w:tcMar>
            <w:hideMark/>
          </w:tcPr>
          <w:p w14:paraId="43B460C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Large</w:t>
            </w:r>
          </w:p>
        </w:tc>
      </w:tr>
    </w:tbl>
    <w:p w14:paraId="4ACF077C"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definition of low, medium, and high FSM rates is also set using quartiles.</w:t>
      </w:r>
    </w:p>
    <w:p w14:paraId="035F0BB9"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Primary schools</w:t>
      </w:r>
    </w:p>
    <w:tbl>
      <w:tblPr>
        <w:tblW w:w="10688" w:type="dxa"/>
        <w:tblCellMar>
          <w:left w:w="0" w:type="dxa"/>
          <w:right w:w="0" w:type="dxa"/>
        </w:tblCellMar>
        <w:tblLook w:val="04A0" w:firstRow="1" w:lastRow="0" w:firstColumn="1" w:lastColumn="0" w:noHBand="0" w:noVBand="1"/>
      </w:tblPr>
      <w:tblGrid>
        <w:gridCol w:w="8435"/>
        <w:gridCol w:w="2253"/>
      </w:tblGrid>
      <w:tr w:rsidR="008D3968" w:rsidRPr="002F3331" w14:paraId="454D055E"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70516C5B"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 of pupils eligible for FSM</w:t>
            </w:r>
          </w:p>
        </w:tc>
        <w:tc>
          <w:tcPr>
            <w:tcW w:w="0" w:type="auto"/>
            <w:tcBorders>
              <w:top w:val="nil"/>
              <w:left w:val="nil"/>
              <w:bottom w:val="single" w:sz="6" w:space="0" w:color="B1B4B6"/>
              <w:right w:val="nil"/>
            </w:tcBorders>
            <w:tcMar>
              <w:top w:w="150" w:type="dxa"/>
              <w:left w:w="0" w:type="dxa"/>
              <w:bottom w:w="150" w:type="dxa"/>
              <w:right w:w="150" w:type="dxa"/>
            </w:tcMar>
            <w:hideMark/>
          </w:tcPr>
          <w:p w14:paraId="7EB6C914"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FSM rate</w:t>
            </w:r>
          </w:p>
        </w:tc>
      </w:tr>
      <w:tr w:rsidR="008D3968" w:rsidRPr="002F3331" w14:paraId="40EE3E45"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6D3BFCA"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0% to 5%</w:t>
            </w:r>
          </w:p>
        </w:tc>
        <w:tc>
          <w:tcPr>
            <w:tcW w:w="0" w:type="auto"/>
            <w:tcBorders>
              <w:top w:val="nil"/>
              <w:left w:val="nil"/>
              <w:bottom w:val="single" w:sz="6" w:space="0" w:color="B1B4B6"/>
              <w:right w:val="nil"/>
            </w:tcBorders>
            <w:tcMar>
              <w:top w:w="150" w:type="dxa"/>
              <w:left w:w="0" w:type="dxa"/>
              <w:bottom w:w="150" w:type="dxa"/>
              <w:right w:w="150" w:type="dxa"/>
            </w:tcMar>
            <w:hideMark/>
          </w:tcPr>
          <w:p w14:paraId="74717DA6"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Low</w:t>
            </w:r>
          </w:p>
        </w:tc>
      </w:tr>
      <w:tr w:rsidR="008D3968" w:rsidRPr="002F3331" w14:paraId="71F7A69D"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0ED7A56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lastRenderedPageBreak/>
              <w:t>5% to 18%</w:t>
            </w:r>
          </w:p>
        </w:tc>
        <w:tc>
          <w:tcPr>
            <w:tcW w:w="0" w:type="auto"/>
            <w:tcBorders>
              <w:top w:val="nil"/>
              <w:left w:val="nil"/>
              <w:bottom w:val="single" w:sz="6" w:space="0" w:color="B1B4B6"/>
              <w:right w:val="nil"/>
            </w:tcBorders>
            <w:tcMar>
              <w:top w:w="150" w:type="dxa"/>
              <w:left w:w="0" w:type="dxa"/>
              <w:bottom w:w="150" w:type="dxa"/>
              <w:right w:w="150" w:type="dxa"/>
            </w:tcMar>
            <w:hideMark/>
          </w:tcPr>
          <w:p w14:paraId="01F01238"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Medium</w:t>
            </w:r>
          </w:p>
        </w:tc>
      </w:tr>
      <w:tr w:rsidR="008D3968" w:rsidRPr="002F3331" w14:paraId="150ED9D9"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4BFBEB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Above 18%</w:t>
            </w:r>
          </w:p>
        </w:tc>
        <w:tc>
          <w:tcPr>
            <w:tcW w:w="0" w:type="auto"/>
            <w:tcBorders>
              <w:top w:val="nil"/>
              <w:left w:val="nil"/>
              <w:bottom w:val="single" w:sz="6" w:space="0" w:color="B1B4B6"/>
              <w:right w:val="nil"/>
            </w:tcBorders>
            <w:tcMar>
              <w:top w:w="150" w:type="dxa"/>
              <w:left w:w="0" w:type="dxa"/>
              <w:bottom w:w="150" w:type="dxa"/>
              <w:right w:w="150" w:type="dxa"/>
            </w:tcMar>
            <w:hideMark/>
          </w:tcPr>
          <w:p w14:paraId="0B0334D7"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High</w:t>
            </w:r>
          </w:p>
        </w:tc>
      </w:tr>
    </w:tbl>
    <w:p w14:paraId="75C82715"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Secondary schools with a sixth form</w:t>
      </w:r>
    </w:p>
    <w:tbl>
      <w:tblPr>
        <w:tblW w:w="10688" w:type="dxa"/>
        <w:tblCellMar>
          <w:left w:w="0" w:type="dxa"/>
          <w:right w:w="0" w:type="dxa"/>
        </w:tblCellMar>
        <w:tblLook w:val="04A0" w:firstRow="1" w:lastRow="0" w:firstColumn="1" w:lastColumn="0" w:noHBand="0" w:noVBand="1"/>
      </w:tblPr>
      <w:tblGrid>
        <w:gridCol w:w="8435"/>
        <w:gridCol w:w="2253"/>
      </w:tblGrid>
      <w:tr w:rsidR="008D3968" w:rsidRPr="002F3331" w14:paraId="0829BBA4"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1A9034E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 of pupils eligible for FSM</w:t>
            </w:r>
          </w:p>
        </w:tc>
        <w:tc>
          <w:tcPr>
            <w:tcW w:w="0" w:type="auto"/>
            <w:tcBorders>
              <w:top w:val="nil"/>
              <w:left w:val="nil"/>
              <w:bottom w:val="single" w:sz="6" w:space="0" w:color="B1B4B6"/>
              <w:right w:val="nil"/>
            </w:tcBorders>
            <w:tcMar>
              <w:top w:w="150" w:type="dxa"/>
              <w:left w:w="0" w:type="dxa"/>
              <w:bottom w:w="150" w:type="dxa"/>
              <w:right w:w="150" w:type="dxa"/>
            </w:tcMar>
            <w:hideMark/>
          </w:tcPr>
          <w:p w14:paraId="29499D71"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FSM rate</w:t>
            </w:r>
          </w:p>
        </w:tc>
      </w:tr>
      <w:tr w:rsidR="008D3968" w:rsidRPr="002F3331" w14:paraId="065B68D6"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4102FE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0% to 6%</w:t>
            </w:r>
          </w:p>
        </w:tc>
        <w:tc>
          <w:tcPr>
            <w:tcW w:w="0" w:type="auto"/>
            <w:tcBorders>
              <w:top w:val="nil"/>
              <w:left w:val="nil"/>
              <w:bottom w:val="single" w:sz="6" w:space="0" w:color="B1B4B6"/>
              <w:right w:val="nil"/>
            </w:tcBorders>
            <w:tcMar>
              <w:top w:w="150" w:type="dxa"/>
              <w:left w:w="0" w:type="dxa"/>
              <w:bottom w:w="150" w:type="dxa"/>
              <w:right w:w="150" w:type="dxa"/>
            </w:tcMar>
            <w:hideMark/>
          </w:tcPr>
          <w:p w14:paraId="3C0AD35D"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Low</w:t>
            </w:r>
          </w:p>
        </w:tc>
      </w:tr>
      <w:tr w:rsidR="008D3968" w:rsidRPr="002F3331" w14:paraId="62D2D9B6"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7BD1893E"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6% to 16.5%</w:t>
            </w:r>
          </w:p>
        </w:tc>
        <w:tc>
          <w:tcPr>
            <w:tcW w:w="0" w:type="auto"/>
            <w:tcBorders>
              <w:top w:val="nil"/>
              <w:left w:val="nil"/>
              <w:bottom w:val="single" w:sz="6" w:space="0" w:color="B1B4B6"/>
              <w:right w:val="nil"/>
            </w:tcBorders>
            <w:tcMar>
              <w:top w:w="150" w:type="dxa"/>
              <w:left w:w="0" w:type="dxa"/>
              <w:bottom w:w="150" w:type="dxa"/>
              <w:right w:w="150" w:type="dxa"/>
            </w:tcMar>
            <w:hideMark/>
          </w:tcPr>
          <w:p w14:paraId="308B15DF"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Medium</w:t>
            </w:r>
          </w:p>
        </w:tc>
      </w:tr>
      <w:tr w:rsidR="008D3968" w:rsidRPr="002F3331" w14:paraId="1C414803"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4DF702D1"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Above 16.5%</w:t>
            </w:r>
          </w:p>
        </w:tc>
        <w:tc>
          <w:tcPr>
            <w:tcW w:w="0" w:type="auto"/>
            <w:tcBorders>
              <w:top w:val="nil"/>
              <w:left w:val="nil"/>
              <w:bottom w:val="single" w:sz="6" w:space="0" w:color="B1B4B6"/>
              <w:right w:val="nil"/>
            </w:tcBorders>
            <w:tcMar>
              <w:top w:w="150" w:type="dxa"/>
              <w:left w:w="0" w:type="dxa"/>
              <w:bottom w:w="150" w:type="dxa"/>
              <w:right w:w="150" w:type="dxa"/>
            </w:tcMar>
            <w:hideMark/>
          </w:tcPr>
          <w:p w14:paraId="1833F4C1"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High</w:t>
            </w:r>
          </w:p>
        </w:tc>
      </w:tr>
    </w:tbl>
    <w:p w14:paraId="0F7461E6"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Secondary schools without a sixth form</w:t>
      </w:r>
    </w:p>
    <w:tbl>
      <w:tblPr>
        <w:tblW w:w="10688" w:type="dxa"/>
        <w:tblCellMar>
          <w:left w:w="0" w:type="dxa"/>
          <w:right w:w="0" w:type="dxa"/>
        </w:tblCellMar>
        <w:tblLook w:val="04A0" w:firstRow="1" w:lastRow="0" w:firstColumn="1" w:lastColumn="0" w:noHBand="0" w:noVBand="1"/>
      </w:tblPr>
      <w:tblGrid>
        <w:gridCol w:w="8435"/>
        <w:gridCol w:w="2253"/>
      </w:tblGrid>
      <w:tr w:rsidR="008D3968" w:rsidRPr="002F3331" w14:paraId="613FE0D2"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7EDC80FA"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Percentage of pupils eligible for FSM</w:t>
            </w:r>
          </w:p>
        </w:tc>
        <w:tc>
          <w:tcPr>
            <w:tcW w:w="0" w:type="auto"/>
            <w:tcBorders>
              <w:top w:val="nil"/>
              <w:left w:val="nil"/>
              <w:bottom w:val="single" w:sz="6" w:space="0" w:color="B1B4B6"/>
              <w:right w:val="nil"/>
            </w:tcBorders>
            <w:tcMar>
              <w:top w:w="150" w:type="dxa"/>
              <w:left w:w="0" w:type="dxa"/>
              <w:bottom w:w="150" w:type="dxa"/>
              <w:right w:w="150" w:type="dxa"/>
            </w:tcMar>
            <w:hideMark/>
          </w:tcPr>
          <w:p w14:paraId="6C4D018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FSM rate</w:t>
            </w:r>
          </w:p>
        </w:tc>
      </w:tr>
      <w:tr w:rsidR="008D3968" w:rsidRPr="002F3331" w14:paraId="07D5E65A"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6AA0B73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0% to 8%</w:t>
            </w:r>
          </w:p>
        </w:tc>
        <w:tc>
          <w:tcPr>
            <w:tcW w:w="0" w:type="auto"/>
            <w:tcBorders>
              <w:top w:val="nil"/>
              <w:left w:val="nil"/>
              <w:bottom w:val="single" w:sz="6" w:space="0" w:color="B1B4B6"/>
              <w:right w:val="nil"/>
            </w:tcBorders>
            <w:tcMar>
              <w:top w:w="150" w:type="dxa"/>
              <w:left w:w="0" w:type="dxa"/>
              <w:bottom w:w="150" w:type="dxa"/>
              <w:right w:w="150" w:type="dxa"/>
            </w:tcMar>
            <w:hideMark/>
          </w:tcPr>
          <w:p w14:paraId="32A1E4DE"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Low</w:t>
            </w:r>
          </w:p>
        </w:tc>
      </w:tr>
      <w:tr w:rsidR="008D3968" w:rsidRPr="002F3331" w14:paraId="4588DF32"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3F2CC0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8% to 21.5%</w:t>
            </w:r>
          </w:p>
        </w:tc>
        <w:tc>
          <w:tcPr>
            <w:tcW w:w="0" w:type="auto"/>
            <w:tcBorders>
              <w:top w:val="nil"/>
              <w:left w:val="nil"/>
              <w:bottom w:val="single" w:sz="6" w:space="0" w:color="B1B4B6"/>
              <w:right w:val="nil"/>
            </w:tcBorders>
            <w:tcMar>
              <w:top w:w="150" w:type="dxa"/>
              <w:left w:w="0" w:type="dxa"/>
              <w:bottom w:w="150" w:type="dxa"/>
              <w:right w:w="150" w:type="dxa"/>
            </w:tcMar>
            <w:hideMark/>
          </w:tcPr>
          <w:p w14:paraId="048A37BC"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Medium</w:t>
            </w:r>
          </w:p>
        </w:tc>
      </w:tr>
      <w:tr w:rsidR="008D3968" w:rsidRPr="002F3331" w14:paraId="788CAD6D"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EE747F9"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Above 21.5%</w:t>
            </w:r>
          </w:p>
        </w:tc>
        <w:tc>
          <w:tcPr>
            <w:tcW w:w="0" w:type="auto"/>
            <w:tcBorders>
              <w:top w:val="nil"/>
              <w:left w:val="nil"/>
              <w:bottom w:val="single" w:sz="6" w:space="0" w:color="B1B4B6"/>
              <w:right w:val="nil"/>
            </w:tcBorders>
            <w:tcMar>
              <w:top w:w="150" w:type="dxa"/>
              <w:left w:w="0" w:type="dxa"/>
              <w:bottom w:w="150" w:type="dxa"/>
              <w:right w:w="150" w:type="dxa"/>
            </w:tcMar>
            <w:hideMark/>
          </w:tcPr>
          <w:p w14:paraId="79C0E7E1"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High</w:t>
            </w:r>
          </w:p>
        </w:tc>
      </w:tr>
    </w:tbl>
    <w:p w14:paraId="47E63731"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To set the thresholds for average teacher costs, schools are categorised as:</w:t>
      </w:r>
    </w:p>
    <w:p w14:paraId="65E031BC"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primary schools in inner or outer London</w:t>
      </w:r>
    </w:p>
    <w:p w14:paraId="64E0D874"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primary schools outside London</w:t>
      </w:r>
    </w:p>
    <w:p w14:paraId="20DCCE35"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secondary schools with a sixth form in inner or outer London</w:t>
      </w:r>
    </w:p>
    <w:p w14:paraId="51DF8897"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secondary schools with a sixth form outside London</w:t>
      </w:r>
    </w:p>
    <w:p w14:paraId="0787F1AF"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secondary schools with no sixth form in inner or outer London</w:t>
      </w:r>
    </w:p>
    <w:p w14:paraId="054F7E7A"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secondary schools with no sixth form outside London</w:t>
      </w:r>
    </w:p>
    <w:p w14:paraId="55B3AEC3"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all-through schools in inner or outer London</w:t>
      </w:r>
    </w:p>
    <w:p w14:paraId="694461A1"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all-through schools outside London</w:t>
      </w:r>
    </w:p>
    <w:p w14:paraId="7F6241D0"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special schools in inner or outer London</w:t>
      </w:r>
    </w:p>
    <w:p w14:paraId="7783D114"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special schools outside London</w:t>
      </w:r>
    </w:p>
    <w:p w14:paraId="16F8EAAC"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alternative provision and PRUs in inner or outer London</w:t>
      </w:r>
    </w:p>
    <w:p w14:paraId="664F8C71"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alternative provision and PRUs outside London</w:t>
      </w:r>
    </w:p>
    <w:p w14:paraId="14CBC197"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nursery schools in inner or outer London</w:t>
      </w:r>
    </w:p>
    <w:p w14:paraId="67CE7EF7" w14:textId="77777777" w:rsidR="008D3968" w:rsidRPr="002F3331" w:rsidRDefault="008D3968" w:rsidP="008D3968">
      <w:pPr>
        <w:numPr>
          <w:ilvl w:val="0"/>
          <w:numId w:val="9"/>
        </w:numPr>
        <w:shd w:val="clear" w:color="auto" w:fill="FFFFFF"/>
        <w:spacing w:after="75" w:line="240" w:lineRule="auto"/>
        <w:ind w:left="1020"/>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nursery schools outside London</w:t>
      </w:r>
    </w:p>
    <w:p w14:paraId="77E9C403"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The RAG ratings have been calculated using maintained school and academy 2017 to 2018 data. RAG ratings will be updated with 2018 to 2019 data later this year.</w:t>
      </w:r>
    </w:p>
    <w:p w14:paraId="5E1191B6"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lastRenderedPageBreak/>
        <w:t xml:space="preserve">The majority of the metrics in the dashboard are percentages and ratios which at a national level don’t change significantly year on year, so they still provide a fair and useful comparison with your </w:t>
      </w:r>
      <w:proofErr w:type="gramStart"/>
      <w:r w:rsidRPr="002F3331">
        <w:rPr>
          <w:rFonts w:ascii="Trebuchet MS" w:eastAsia="Times New Roman" w:hAnsi="Trebuchet MS" w:cs="Arial"/>
          <w:color w:val="0B0C0C"/>
          <w:lang w:eastAsia="en-GB"/>
        </w:rPr>
        <w:t>up to date</w:t>
      </w:r>
      <w:proofErr w:type="gramEnd"/>
      <w:r w:rsidRPr="002F3331">
        <w:rPr>
          <w:rFonts w:ascii="Trebuchet MS" w:eastAsia="Times New Roman" w:hAnsi="Trebuchet MS" w:cs="Arial"/>
          <w:color w:val="0B0C0C"/>
          <w:lang w:eastAsia="en-GB"/>
        </w:rPr>
        <w:t xml:space="preserve"> data.</w:t>
      </w:r>
    </w:p>
    <w:p w14:paraId="630FDF3D" w14:textId="77777777" w:rsidR="008D3968" w:rsidRPr="002F3331" w:rsidRDefault="008D3968" w:rsidP="008D3968">
      <w:pPr>
        <w:shd w:val="clear" w:color="auto" w:fill="FFFFFF"/>
        <w:spacing w:before="300" w:after="300"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color w:val="0B0C0C"/>
          <w:lang w:eastAsia="en-GB"/>
        </w:rPr>
        <w:t>However, to reflect pay awards and pension contribution changes, the underlying data on teaching staff spending and average teacher costs have been adjusted. The RAG ratings for spend on teaching staff as a percentage of total expenditure and average teacher costs include uplifts relating to the year selected in the dashboard.</w:t>
      </w:r>
    </w:p>
    <w:p w14:paraId="72F4051E" w14:textId="77777777" w:rsidR="008D3968" w:rsidRPr="002F3331" w:rsidRDefault="008D3968" w:rsidP="008D3968">
      <w:pPr>
        <w:shd w:val="clear" w:color="auto" w:fill="FFFFFF"/>
        <w:spacing w:line="240" w:lineRule="auto"/>
        <w:textAlignment w:val="baseline"/>
        <w:rPr>
          <w:rFonts w:ascii="Trebuchet MS" w:eastAsia="Times New Roman" w:hAnsi="Trebuchet MS" w:cs="Arial"/>
          <w:color w:val="0B0C0C"/>
          <w:lang w:eastAsia="en-GB"/>
        </w:rPr>
      </w:pPr>
      <w:r w:rsidRPr="002F3331">
        <w:rPr>
          <w:rFonts w:ascii="Trebuchet MS" w:eastAsia="Times New Roman" w:hAnsi="Trebuchet MS" w:cs="Arial"/>
          <w:b/>
          <w:bCs/>
          <w:color w:val="0B0C0C"/>
          <w:bdr w:val="none" w:sz="0" w:space="0" w:color="auto" w:frame="1"/>
          <w:lang w:eastAsia="en-GB"/>
        </w:rPr>
        <w:t>Teacher cost uplifts</w:t>
      </w:r>
    </w:p>
    <w:tbl>
      <w:tblPr>
        <w:tblW w:w="10688" w:type="dxa"/>
        <w:tblCellMar>
          <w:left w:w="0" w:type="dxa"/>
          <w:right w:w="0" w:type="dxa"/>
        </w:tblCellMar>
        <w:tblLook w:val="04A0" w:firstRow="1" w:lastRow="0" w:firstColumn="1" w:lastColumn="0" w:noHBand="0" w:noVBand="1"/>
      </w:tblPr>
      <w:tblGrid>
        <w:gridCol w:w="2094"/>
        <w:gridCol w:w="8594"/>
      </w:tblGrid>
      <w:tr w:rsidR="008D3968" w:rsidRPr="002F3331" w14:paraId="3E215BA0" w14:textId="77777777" w:rsidTr="008D3968">
        <w:trPr>
          <w:tblHeader/>
        </w:trPr>
        <w:tc>
          <w:tcPr>
            <w:tcW w:w="0" w:type="auto"/>
            <w:tcBorders>
              <w:top w:val="nil"/>
              <w:left w:val="nil"/>
              <w:bottom w:val="single" w:sz="6" w:space="0" w:color="B1B4B6"/>
              <w:right w:val="nil"/>
            </w:tcBorders>
            <w:tcMar>
              <w:top w:w="150" w:type="dxa"/>
              <w:left w:w="0" w:type="dxa"/>
              <w:bottom w:w="150" w:type="dxa"/>
              <w:right w:w="150" w:type="dxa"/>
            </w:tcMar>
            <w:hideMark/>
          </w:tcPr>
          <w:p w14:paraId="1675479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Year</w:t>
            </w:r>
          </w:p>
        </w:tc>
        <w:tc>
          <w:tcPr>
            <w:tcW w:w="0" w:type="auto"/>
            <w:tcBorders>
              <w:top w:val="nil"/>
              <w:left w:val="nil"/>
              <w:bottom w:val="single" w:sz="6" w:space="0" w:color="B1B4B6"/>
              <w:right w:val="nil"/>
            </w:tcBorders>
            <w:tcMar>
              <w:top w:w="150" w:type="dxa"/>
              <w:left w:w="0" w:type="dxa"/>
              <w:bottom w:w="150" w:type="dxa"/>
              <w:right w:w="150" w:type="dxa"/>
            </w:tcMar>
            <w:hideMark/>
          </w:tcPr>
          <w:p w14:paraId="2C4715F0"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Uplift</w:t>
            </w:r>
          </w:p>
        </w:tc>
      </w:tr>
      <w:tr w:rsidR="008D3968" w:rsidRPr="002F3331" w14:paraId="238D411D"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20C4CEE3"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2017 to 2018</w:t>
            </w:r>
          </w:p>
        </w:tc>
        <w:tc>
          <w:tcPr>
            <w:tcW w:w="0" w:type="auto"/>
            <w:tcBorders>
              <w:top w:val="nil"/>
              <w:left w:val="nil"/>
              <w:bottom w:val="single" w:sz="6" w:space="0" w:color="B1B4B6"/>
              <w:right w:val="nil"/>
            </w:tcBorders>
            <w:tcMar>
              <w:top w:w="150" w:type="dxa"/>
              <w:left w:w="0" w:type="dxa"/>
              <w:bottom w:w="150" w:type="dxa"/>
              <w:right w:w="150" w:type="dxa"/>
            </w:tcMar>
            <w:hideMark/>
          </w:tcPr>
          <w:p w14:paraId="39419210"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no uplift applied</w:t>
            </w:r>
          </w:p>
        </w:tc>
      </w:tr>
      <w:tr w:rsidR="008D3968" w:rsidRPr="002F3331" w14:paraId="7A236CD1"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7D07AC14"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2018 to 2019</w:t>
            </w:r>
          </w:p>
        </w:tc>
        <w:tc>
          <w:tcPr>
            <w:tcW w:w="0" w:type="auto"/>
            <w:tcBorders>
              <w:top w:val="nil"/>
              <w:left w:val="nil"/>
              <w:bottom w:val="single" w:sz="6" w:space="0" w:color="B1B4B6"/>
              <w:right w:val="nil"/>
            </w:tcBorders>
            <w:tcMar>
              <w:top w:w="150" w:type="dxa"/>
              <w:left w:w="0" w:type="dxa"/>
              <w:bottom w:w="150" w:type="dxa"/>
              <w:right w:w="150" w:type="dxa"/>
            </w:tcMar>
            <w:hideMark/>
          </w:tcPr>
          <w:p w14:paraId="2A618476"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2.4% uplift to reflect the September 2018 pay award</w:t>
            </w:r>
          </w:p>
        </w:tc>
      </w:tr>
      <w:tr w:rsidR="008D3968" w:rsidRPr="002F3331" w14:paraId="7C4E67E3" w14:textId="77777777" w:rsidTr="008D3968">
        <w:tc>
          <w:tcPr>
            <w:tcW w:w="0" w:type="auto"/>
            <w:tcBorders>
              <w:top w:val="nil"/>
              <w:left w:val="nil"/>
              <w:bottom w:val="single" w:sz="6" w:space="0" w:color="B1B4B6"/>
              <w:right w:val="nil"/>
            </w:tcBorders>
            <w:tcMar>
              <w:top w:w="150" w:type="dxa"/>
              <w:left w:w="0" w:type="dxa"/>
              <w:bottom w:w="150" w:type="dxa"/>
              <w:right w:w="150" w:type="dxa"/>
            </w:tcMar>
            <w:hideMark/>
          </w:tcPr>
          <w:p w14:paraId="3C1298D8" w14:textId="77777777" w:rsidR="008D3968" w:rsidRPr="002F3331" w:rsidRDefault="008D3968" w:rsidP="008D3968">
            <w:pPr>
              <w:spacing w:after="0" w:line="240" w:lineRule="auto"/>
              <w:rPr>
                <w:rFonts w:ascii="Trebuchet MS" w:eastAsia="Times New Roman" w:hAnsi="Trebuchet MS" w:cs="Arial"/>
                <w:b/>
                <w:bCs/>
                <w:color w:val="0B0C0C"/>
                <w:lang w:eastAsia="en-GB"/>
              </w:rPr>
            </w:pPr>
            <w:r w:rsidRPr="002F3331">
              <w:rPr>
                <w:rFonts w:ascii="Trebuchet MS" w:eastAsia="Times New Roman" w:hAnsi="Trebuchet MS" w:cs="Arial"/>
                <w:b/>
                <w:bCs/>
                <w:color w:val="0B0C0C"/>
                <w:lang w:eastAsia="en-GB"/>
              </w:rPr>
              <w:t>2019 to 2020 or later</w:t>
            </w:r>
          </w:p>
        </w:tc>
        <w:tc>
          <w:tcPr>
            <w:tcW w:w="0" w:type="auto"/>
            <w:tcBorders>
              <w:top w:val="nil"/>
              <w:left w:val="nil"/>
              <w:bottom w:val="single" w:sz="6" w:space="0" w:color="B1B4B6"/>
              <w:right w:val="nil"/>
            </w:tcBorders>
            <w:tcMar>
              <w:top w:w="150" w:type="dxa"/>
              <w:left w:w="0" w:type="dxa"/>
              <w:bottom w:w="150" w:type="dxa"/>
              <w:right w:w="150" w:type="dxa"/>
            </w:tcMar>
            <w:hideMark/>
          </w:tcPr>
          <w:p w14:paraId="307E6751" w14:textId="77777777" w:rsidR="008D3968" w:rsidRPr="002F3331" w:rsidRDefault="008D3968" w:rsidP="008D3968">
            <w:pPr>
              <w:spacing w:after="0" w:line="240" w:lineRule="auto"/>
              <w:rPr>
                <w:rFonts w:ascii="Trebuchet MS" w:eastAsia="Times New Roman" w:hAnsi="Trebuchet MS" w:cs="Arial"/>
                <w:lang w:eastAsia="en-GB"/>
              </w:rPr>
            </w:pPr>
            <w:r w:rsidRPr="002F3331">
              <w:rPr>
                <w:rFonts w:ascii="Trebuchet MS" w:eastAsia="Times New Roman" w:hAnsi="Trebuchet MS" w:cs="Arial"/>
                <w:lang w:eastAsia="en-GB"/>
              </w:rPr>
              <w:t>11.2% to reflect the September 2019 pay award and September 2019 pensions contribution changes</w:t>
            </w:r>
          </w:p>
        </w:tc>
      </w:tr>
    </w:tbl>
    <w:p w14:paraId="6EC1459F" w14:textId="77777777" w:rsidR="008D3968" w:rsidRPr="002F3331" w:rsidRDefault="008D3968">
      <w:pPr>
        <w:rPr>
          <w:rFonts w:ascii="Trebuchet MS" w:hAnsi="Trebuchet MS"/>
        </w:rPr>
      </w:pPr>
    </w:p>
    <w:sectPr w:rsidR="008D3968" w:rsidRPr="002F3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CDE"/>
    <w:multiLevelType w:val="multilevel"/>
    <w:tmpl w:val="AFB2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A05AE"/>
    <w:multiLevelType w:val="multilevel"/>
    <w:tmpl w:val="3CA4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13EDD"/>
    <w:multiLevelType w:val="multilevel"/>
    <w:tmpl w:val="C9E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8C2690"/>
    <w:multiLevelType w:val="multilevel"/>
    <w:tmpl w:val="4ECC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E11E43"/>
    <w:multiLevelType w:val="multilevel"/>
    <w:tmpl w:val="2B58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D43071"/>
    <w:multiLevelType w:val="multilevel"/>
    <w:tmpl w:val="258A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A56E18"/>
    <w:multiLevelType w:val="multilevel"/>
    <w:tmpl w:val="B95E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3A3983"/>
    <w:multiLevelType w:val="multilevel"/>
    <w:tmpl w:val="21D8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A65B43"/>
    <w:multiLevelType w:val="hybridMultilevel"/>
    <w:tmpl w:val="9ECEBCFA"/>
    <w:lvl w:ilvl="0" w:tplc="D47C4392">
      <w:numFmt w:val="bullet"/>
      <w:lvlText w:val="-"/>
      <w:lvlJc w:val="left"/>
      <w:pPr>
        <w:ind w:left="3960" w:hanging="360"/>
      </w:pPr>
      <w:rPr>
        <w:rFonts w:ascii="Trebuchet MS" w:eastAsia="Times New Roman" w:hAnsi="Trebuchet MS"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9" w15:restartNumberingAfterBreak="0">
    <w:nsid w:val="731D0157"/>
    <w:multiLevelType w:val="hybridMultilevel"/>
    <w:tmpl w:val="2E54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53CA6"/>
    <w:multiLevelType w:val="multilevel"/>
    <w:tmpl w:val="60BC69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B87696"/>
    <w:multiLevelType w:val="multilevel"/>
    <w:tmpl w:val="3F1A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6004AB"/>
    <w:multiLevelType w:val="hybridMultilevel"/>
    <w:tmpl w:val="1F16F1C4"/>
    <w:lvl w:ilvl="0" w:tplc="63947A80">
      <w:numFmt w:val="bullet"/>
      <w:lvlText w:val="-"/>
      <w:lvlJc w:val="left"/>
      <w:pPr>
        <w:ind w:left="3960" w:hanging="360"/>
      </w:pPr>
      <w:rPr>
        <w:rFonts w:ascii="Trebuchet MS" w:eastAsia="Times New Roman" w:hAnsi="Trebuchet MS"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777411076">
    <w:abstractNumId w:val="2"/>
  </w:num>
  <w:num w:numId="2" w16cid:durableId="118376989">
    <w:abstractNumId w:val="6"/>
  </w:num>
  <w:num w:numId="3" w16cid:durableId="1585644024">
    <w:abstractNumId w:val="7"/>
  </w:num>
  <w:num w:numId="4" w16cid:durableId="1378746643">
    <w:abstractNumId w:val="4"/>
  </w:num>
  <w:num w:numId="5" w16cid:durableId="1492912114">
    <w:abstractNumId w:val="1"/>
  </w:num>
  <w:num w:numId="6" w16cid:durableId="965624466">
    <w:abstractNumId w:val="0"/>
  </w:num>
  <w:num w:numId="7" w16cid:durableId="844170037">
    <w:abstractNumId w:val="5"/>
  </w:num>
  <w:num w:numId="8" w16cid:durableId="321472391">
    <w:abstractNumId w:val="11"/>
  </w:num>
  <w:num w:numId="9" w16cid:durableId="1865164835">
    <w:abstractNumId w:val="3"/>
  </w:num>
  <w:num w:numId="10" w16cid:durableId="996685083">
    <w:abstractNumId w:val="9"/>
  </w:num>
  <w:num w:numId="11" w16cid:durableId="342123762">
    <w:abstractNumId w:val="10"/>
  </w:num>
  <w:num w:numId="12" w16cid:durableId="1837652030">
    <w:abstractNumId w:val="8"/>
  </w:num>
  <w:num w:numId="13" w16cid:durableId="12538593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68"/>
    <w:rsid w:val="00050610"/>
    <w:rsid w:val="000B488E"/>
    <w:rsid w:val="001164C2"/>
    <w:rsid w:val="001165A0"/>
    <w:rsid w:val="0013328D"/>
    <w:rsid w:val="00143BE7"/>
    <w:rsid w:val="0014719B"/>
    <w:rsid w:val="001842D9"/>
    <w:rsid w:val="0020523F"/>
    <w:rsid w:val="002F3331"/>
    <w:rsid w:val="00344398"/>
    <w:rsid w:val="00360E87"/>
    <w:rsid w:val="003A23A1"/>
    <w:rsid w:val="00414A95"/>
    <w:rsid w:val="00426260"/>
    <w:rsid w:val="0044695E"/>
    <w:rsid w:val="004673F5"/>
    <w:rsid w:val="004D78D4"/>
    <w:rsid w:val="004E2A4E"/>
    <w:rsid w:val="004F14C4"/>
    <w:rsid w:val="0050573C"/>
    <w:rsid w:val="00545D5C"/>
    <w:rsid w:val="00567978"/>
    <w:rsid w:val="00577C7B"/>
    <w:rsid w:val="005C6521"/>
    <w:rsid w:val="005D713A"/>
    <w:rsid w:val="0061103A"/>
    <w:rsid w:val="00680F28"/>
    <w:rsid w:val="00726E0A"/>
    <w:rsid w:val="00792E35"/>
    <w:rsid w:val="007E21FA"/>
    <w:rsid w:val="007F5E73"/>
    <w:rsid w:val="0081370D"/>
    <w:rsid w:val="008237A9"/>
    <w:rsid w:val="00833449"/>
    <w:rsid w:val="00834AFA"/>
    <w:rsid w:val="008426B5"/>
    <w:rsid w:val="00856630"/>
    <w:rsid w:val="00894384"/>
    <w:rsid w:val="008B06EA"/>
    <w:rsid w:val="008D3968"/>
    <w:rsid w:val="0096213E"/>
    <w:rsid w:val="009B0007"/>
    <w:rsid w:val="009C3B81"/>
    <w:rsid w:val="009E5295"/>
    <w:rsid w:val="00A96908"/>
    <w:rsid w:val="00AB4123"/>
    <w:rsid w:val="00B04E8F"/>
    <w:rsid w:val="00B26451"/>
    <w:rsid w:val="00B82DB6"/>
    <w:rsid w:val="00BB2249"/>
    <w:rsid w:val="00BE3962"/>
    <w:rsid w:val="00C0379D"/>
    <w:rsid w:val="00C37A7E"/>
    <w:rsid w:val="00C437C3"/>
    <w:rsid w:val="00C8109E"/>
    <w:rsid w:val="00CC2F86"/>
    <w:rsid w:val="00CC3945"/>
    <w:rsid w:val="00D128DE"/>
    <w:rsid w:val="00D3356C"/>
    <w:rsid w:val="00D81C6C"/>
    <w:rsid w:val="00D8755A"/>
    <w:rsid w:val="00DD30B2"/>
    <w:rsid w:val="00DE2E5D"/>
    <w:rsid w:val="00E2606E"/>
    <w:rsid w:val="00EB17ED"/>
    <w:rsid w:val="00EF33D0"/>
    <w:rsid w:val="00EF5C4C"/>
    <w:rsid w:val="00F25369"/>
    <w:rsid w:val="00F51041"/>
    <w:rsid w:val="00F52708"/>
    <w:rsid w:val="00F70134"/>
    <w:rsid w:val="00F90612"/>
    <w:rsid w:val="00FC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v:stroke endarrow="block"/>
    </o:shapedefaults>
    <o:shapelayout v:ext="edit">
      <o:idmap v:ext="edit" data="1"/>
    </o:shapelayout>
  </w:shapeDefaults>
  <w:decimalSymbol w:val="."/>
  <w:listSeparator w:val=","/>
  <w14:docId w14:val="0D6CC250"/>
  <w15:docId w15:val="{A186D922-354E-4F95-AFA3-669AAA9F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331"/>
    <w:pPr>
      <w:ind w:left="720"/>
      <w:contextualSpacing/>
    </w:pPr>
  </w:style>
  <w:style w:type="character" w:styleId="Hyperlink">
    <w:name w:val="Hyperlink"/>
    <w:basedOn w:val="DefaultParagraphFont"/>
    <w:uiPriority w:val="99"/>
    <w:unhideWhenUsed/>
    <w:rsid w:val="00EF5C4C"/>
    <w:rPr>
      <w:color w:val="0563C1" w:themeColor="hyperlink"/>
      <w:u w:val="single"/>
    </w:rPr>
  </w:style>
  <w:style w:type="character" w:styleId="UnresolvedMention">
    <w:name w:val="Unresolved Mention"/>
    <w:basedOn w:val="DefaultParagraphFont"/>
    <w:uiPriority w:val="99"/>
    <w:semiHidden/>
    <w:unhideWhenUsed/>
    <w:rsid w:val="00EF5C4C"/>
    <w:rPr>
      <w:color w:val="605E5C"/>
      <w:shd w:val="clear" w:color="auto" w:fill="E1DFDD"/>
    </w:rPr>
  </w:style>
  <w:style w:type="character" w:styleId="Strong">
    <w:name w:val="Strong"/>
    <w:basedOn w:val="DefaultParagraphFont"/>
    <w:uiPriority w:val="22"/>
    <w:qFormat/>
    <w:rsid w:val="005C6521"/>
    <w:rPr>
      <w:b/>
      <w:bCs/>
    </w:rPr>
  </w:style>
  <w:style w:type="character" w:styleId="FollowedHyperlink">
    <w:name w:val="FollowedHyperlink"/>
    <w:basedOn w:val="DefaultParagraphFont"/>
    <w:uiPriority w:val="99"/>
    <w:semiHidden/>
    <w:unhideWhenUsed/>
    <w:rsid w:val="008566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368640">
      <w:bodyDiv w:val="1"/>
      <w:marLeft w:val="0"/>
      <w:marRight w:val="0"/>
      <w:marTop w:val="0"/>
      <w:marBottom w:val="0"/>
      <w:divBdr>
        <w:top w:val="none" w:sz="0" w:space="0" w:color="auto"/>
        <w:left w:val="none" w:sz="0" w:space="0" w:color="auto"/>
        <w:bottom w:val="none" w:sz="0" w:space="0" w:color="auto"/>
        <w:right w:val="none" w:sz="0" w:space="0" w:color="auto"/>
      </w:divBdr>
    </w:div>
    <w:div w:id="536550578">
      <w:bodyDiv w:val="1"/>
      <w:marLeft w:val="0"/>
      <w:marRight w:val="0"/>
      <w:marTop w:val="0"/>
      <w:marBottom w:val="0"/>
      <w:divBdr>
        <w:top w:val="none" w:sz="0" w:space="0" w:color="auto"/>
        <w:left w:val="none" w:sz="0" w:space="0" w:color="auto"/>
        <w:bottom w:val="none" w:sz="0" w:space="0" w:color="auto"/>
        <w:right w:val="none" w:sz="0" w:space="0" w:color="auto"/>
      </w:divBdr>
    </w:div>
    <w:div w:id="666060089">
      <w:bodyDiv w:val="1"/>
      <w:marLeft w:val="0"/>
      <w:marRight w:val="0"/>
      <w:marTop w:val="0"/>
      <w:marBottom w:val="0"/>
      <w:divBdr>
        <w:top w:val="none" w:sz="0" w:space="0" w:color="auto"/>
        <w:left w:val="none" w:sz="0" w:space="0" w:color="auto"/>
        <w:bottom w:val="none" w:sz="0" w:space="0" w:color="auto"/>
        <w:right w:val="none" w:sz="0" w:space="0" w:color="auto"/>
      </w:divBdr>
    </w:div>
    <w:div w:id="772211874">
      <w:bodyDiv w:val="1"/>
      <w:marLeft w:val="0"/>
      <w:marRight w:val="0"/>
      <w:marTop w:val="0"/>
      <w:marBottom w:val="0"/>
      <w:divBdr>
        <w:top w:val="none" w:sz="0" w:space="0" w:color="auto"/>
        <w:left w:val="none" w:sz="0" w:space="0" w:color="auto"/>
        <w:bottom w:val="none" w:sz="0" w:space="0" w:color="auto"/>
        <w:right w:val="none" w:sz="0" w:space="0" w:color="auto"/>
      </w:divBdr>
    </w:div>
    <w:div w:id="993727058">
      <w:bodyDiv w:val="1"/>
      <w:marLeft w:val="0"/>
      <w:marRight w:val="0"/>
      <w:marTop w:val="0"/>
      <w:marBottom w:val="0"/>
      <w:divBdr>
        <w:top w:val="none" w:sz="0" w:space="0" w:color="auto"/>
        <w:left w:val="none" w:sz="0" w:space="0" w:color="auto"/>
        <w:bottom w:val="none" w:sz="0" w:space="0" w:color="auto"/>
        <w:right w:val="none" w:sz="0" w:space="0" w:color="auto"/>
      </w:divBdr>
    </w:div>
    <w:div w:id="1153375162">
      <w:bodyDiv w:val="1"/>
      <w:marLeft w:val="0"/>
      <w:marRight w:val="0"/>
      <w:marTop w:val="0"/>
      <w:marBottom w:val="0"/>
      <w:divBdr>
        <w:top w:val="none" w:sz="0" w:space="0" w:color="auto"/>
        <w:left w:val="none" w:sz="0" w:space="0" w:color="auto"/>
        <w:bottom w:val="none" w:sz="0" w:space="0" w:color="auto"/>
        <w:right w:val="none" w:sz="0" w:space="0" w:color="auto"/>
      </w:divBdr>
    </w:div>
    <w:div w:id="1192692203">
      <w:bodyDiv w:val="1"/>
      <w:marLeft w:val="0"/>
      <w:marRight w:val="0"/>
      <w:marTop w:val="0"/>
      <w:marBottom w:val="0"/>
      <w:divBdr>
        <w:top w:val="none" w:sz="0" w:space="0" w:color="auto"/>
        <w:left w:val="none" w:sz="0" w:space="0" w:color="auto"/>
        <w:bottom w:val="none" w:sz="0" w:space="0" w:color="auto"/>
        <w:right w:val="none" w:sz="0" w:space="0" w:color="auto"/>
      </w:divBdr>
    </w:div>
    <w:div w:id="1316454360">
      <w:bodyDiv w:val="1"/>
      <w:marLeft w:val="0"/>
      <w:marRight w:val="0"/>
      <w:marTop w:val="0"/>
      <w:marBottom w:val="0"/>
      <w:divBdr>
        <w:top w:val="none" w:sz="0" w:space="0" w:color="auto"/>
        <w:left w:val="none" w:sz="0" w:space="0" w:color="auto"/>
        <w:bottom w:val="none" w:sz="0" w:space="0" w:color="auto"/>
        <w:right w:val="none" w:sz="0" w:space="0" w:color="auto"/>
      </w:divBdr>
    </w:div>
    <w:div w:id="1378778297">
      <w:bodyDiv w:val="1"/>
      <w:marLeft w:val="0"/>
      <w:marRight w:val="0"/>
      <w:marTop w:val="0"/>
      <w:marBottom w:val="0"/>
      <w:divBdr>
        <w:top w:val="none" w:sz="0" w:space="0" w:color="auto"/>
        <w:left w:val="none" w:sz="0" w:space="0" w:color="auto"/>
        <w:bottom w:val="none" w:sz="0" w:space="0" w:color="auto"/>
        <w:right w:val="none" w:sz="0" w:space="0" w:color="auto"/>
      </w:divBdr>
      <w:divsChild>
        <w:div w:id="1274707372">
          <w:marLeft w:val="0"/>
          <w:marRight w:val="0"/>
          <w:marTop w:val="0"/>
          <w:marBottom w:val="0"/>
          <w:divBdr>
            <w:top w:val="none" w:sz="0" w:space="0" w:color="auto"/>
            <w:left w:val="none" w:sz="0" w:space="0" w:color="auto"/>
            <w:bottom w:val="none" w:sz="0" w:space="0" w:color="auto"/>
            <w:right w:val="none" w:sz="0" w:space="0" w:color="auto"/>
          </w:divBdr>
          <w:divsChild>
            <w:div w:id="1722051760">
              <w:marLeft w:val="225"/>
              <w:marRight w:val="0"/>
              <w:marTop w:val="0"/>
              <w:marBottom w:val="0"/>
              <w:divBdr>
                <w:top w:val="none" w:sz="0" w:space="0" w:color="auto"/>
                <w:left w:val="none" w:sz="0" w:space="0" w:color="auto"/>
                <w:bottom w:val="none" w:sz="0" w:space="0" w:color="auto"/>
                <w:right w:val="none" w:sz="0" w:space="0" w:color="auto"/>
              </w:divBdr>
              <w:divsChild>
                <w:div w:id="14677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212">
          <w:marLeft w:val="0"/>
          <w:marRight w:val="0"/>
          <w:marTop w:val="0"/>
          <w:marBottom w:val="0"/>
          <w:divBdr>
            <w:top w:val="none" w:sz="0" w:space="0" w:color="auto"/>
            <w:left w:val="none" w:sz="0" w:space="0" w:color="auto"/>
            <w:bottom w:val="none" w:sz="0" w:space="0" w:color="auto"/>
            <w:right w:val="none" w:sz="0" w:space="0" w:color="auto"/>
          </w:divBdr>
          <w:divsChild>
            <w:div w:id="1476331730">
              <w:marLeft w:val="0"/>
              <w:marRight w:val="0"/>
              <w:marTop w:val="0"/>
              <w:marBottom w:val="675"/>
              <w:divBdr>
                <w:top w:val="none" w:sz="0" w:space="0" w:color="auto"/>
                <w:left w:val="none" w:sz="0" w:space="0" w:color="auto"/>
                <w:bottom w:val="none" w:sz="0" w:space="0" w:color="auto"/>
                <w:right w:val="none" w:sz="0" w:space="0" w:color="auto"/>
              </w:divBdr>
              <w:divsChild>
                <w:div w:id="1078483526">
                  <w:marLeft w:val="0"/>
                  <w:marRight w:val="0"/>
                  <w:marTop w:val="0"/>
                  <w:marBottom w:val="0"/>
                  <w:divBdr>
                    <w:top w:val="none" w:sz="0" w:space="0" w:color="auto"/>
                    <w:left w:val="none" w:sz="0" w:space="0" w:color="auto"/>
                    <w:bottom w:val="none" w:sz="0" w:space="0" w:color="auto"/>
                    <w:right w:val="none" w:sz="0" w:space="0" w:color="auto"/>
                  </w:divBdr>
                  <w:divsChild>
                    <w:div w:id="896162327">
                      <w:marLeft w:val="0"/>
                      <w:marRight w:val="0"/>
                      <w:marTop w:val="0"/>
                      <w:marBottom w:val="0"/>
                      <w:divBdr>
                        <w:top w:val="none" w:sz="0" w:space="0" w:color="auto"/>
                        <w:left w:val="none" w:sz="0" w:space="0" w:color="auto"/>
                        <w:bottom w:val="none" w:sz="0" w:space="0" w:color="auto"/>
                        <w:right w:val="none" w:sz="0" w:space="0" w:color="auto"/>
                      </w:divBdr>
                      <w:divsChild>
                        <w:div w:id="219096228">
                          <w:marLeft w:val="0"/>
                          <w:marRight w:val="0"/>
                          <w:marTop w:val="480"/>
                          <w:marBottom w:val="480"/>
                          <w:divBdr>
                            <w:top w:val="none" w:sz="0" w:space="0" w:color="auto"/>
                            <w:left w:val="single" w:sz="48" w:space="12" w:color="B1B4B6"/>
                            <w:bottom w:val="none" w:sz="0" w:space="0" w:color="auto"/>
                            <w:right w:val="none" w:sz="0" w:space="0" w:color="auto"/>
                          </w:divBdr>
                        </w:div>
                        <w:div w:id="308096215">
                          <w:marLeft w:val="0"/>
                          <w:marRight w:val="0"/>
                          <w:marTop w:val="480"/>
                          <w:marBottom w:val="480"/>
                          <w:divBdr>
                            <w:top w:val="none" w:sz="0" w:space="0" w:color="auto"/>
                            <w:left w:val="single" w:sz="48" w:space="12" w:color="B1B4B6"/>
                            <w:bottom w:val="none" w:sz="0" w:space="0" w:color="auto"/>
                            <w:right w:val="none" w:sz="0" w:space="0" w:color="auto"/>
                          </w:divBdr>
                        </w:div>
                        <w:div w:id="364643073">
                          <w:marLeft w:val="0"/>
                          <w:marRight w:val="0"/>
                          <w:marTop w:val="480"/>
                          <w:marBottom w:val="480"/>
                          <w:divBdr>
                            <w:top w:val="none" w:sz="0" w:space="0" w:color="auto"/>
                            <w:left w:val="single" w:sz="48" w:space="12" w:color="B1B4B6"/>
                            <w:bottom w:val="none" w:sz="0" w:space="0" w:color="auto"/>
                            <w:right w:val="none" w:sz="0" w:space="0" w:color="auto"/>
                          </w:divBdr>
                        </w:div>
                        <w:div w:id="402485913">
                          <w:marLeft w:val="0"/>
                          <w:marRight w:val="0"/>
                          <w:marTop w:val="480"/>
                          <w:marBottom w:val="480"/>
                          <w:divBdr>
                            <w:top w:val="none" w:sz="0" w:space="0" w:color="auto"/>
                            <w:left w:val="single" w:sz="48" w:space="12" w:color="B1B4B6"/>
                            <w:bottom w:val="none" w:sz="0" w:space="0" w:color="auto"/>
                            <w:right w:val="none" w:sz="0" w:space="0" w:color="auto"/>
                          </w:divBdr>
                        </w:div>
                        <w:div w:id="560753081">
                          <w:marLeft w:val="0"/>
                          <w:marRight w:val="0"/>
                          <w:marTop w:val="480"/>
                          <w:marBottom w:val="480"/>
                          <w:divBdr>
                            <w:top w:val="none" w:sz="0" w:space="0" w:color="auto"/>
                            <w:left w:val="single" w:sz="48" w:space="12" w:color="B1B4B6"/>
                            <w:bottom w:val="none" w:sz="0" w:space="0" w:color="auto"/>
                            <w:right w:val="none" w:sz="0" w:space="0" w:color="auto"/>
                          </w:divBdr>
                        </w:div>
                        <w:div w:id="616837052">
                          <w:marLeft w:val="0"/>
                          <w:marRight w:val="0"/>
                          <w:marTop w:val="480"/>
                          <w:marBottom w:val="480"/>
                          <w:divBdr>
                            <w:top w:val="none" w:sz="0" w:space="0" w:color="auto"/>
                            <w:left w:val="single" w:sz="48" w:space="12" w:color="B1B4B6"/>
                            <w:bottom w:val="none" w:sz="0" w:space="0" w:color="auto"/>
                            <w:right w:val="none" w:sz="0" w:space="0" w:color="auto"/>
                          </w:divBdr>
                        </w:div>
                        <w:div w:id="859242713">
                          <w:marLeft w:val="0"/>
                          <w:marRight w:val="0"/>
                          <w:marTop w:val="480"/>
                          <w:marBottom w:val="480"/>
                          <w:divBdr>
                            <w:top w:val="none" w:sz="0" w:space="0" w:color="auto"/>
                            <w:left w:val="single" w:sz="48" w:space="12" w:color="B1B4B6"/>
                            <w:bottom w:val="none" w:sz="0" w:space="0" w:color="auto"/>
                            <w:right w:val="none" w:sz="0" w:space="0" w:color="auto"/>
                          </w:divBdr>
                        </w:div>
                        <w:div w:id="893809312">
                          <w:marLeft w:val="0"/>
                          <w:marRight w:val="0"/>
                          <w:marTop w:val="480"/>
                          <w:marBottom w:val="480"/>
                          <w:divBdr>
                            <w:top w:val="none" w:sz="0" w:space="0" w:color="auto"/>
                            <w:left w:val="single" w:sz="48" w:space="12" w:color="B1B4B6"/>
                            <w:bottom w:val="none" w:sz="0" w:space="0" w:color="auto"/>
                            <w:right w:val="none" w:sz="0" w:space="0" w:color="auto"/>
                          </w:divBdr>
                        </w:div>
                        <w:div w:id="963004320">
                          <w:marLeft w:val="0"/>
                          <w:marRight w:val="0"/>
                          <w:marTop w:val="480"/>
                          <w:marBottom w:val="480"/>
                          <w:divBdr>
                            <w:top w:val="none" w:sz="0" w:space="0" w:color="auto"/>
                            <w:left w:val="single" w:sz="48" w:space="12" w:color="B1B4B6"/>
                            <w:bottom w:val="none" w:sz="0" w:space="0" w:color="auto"/>
                            <w:right w:val="none" w:sz="0" w:space="0" w:color="auto"/>
                          </w:divBdr>
                        </w:div>
                        <w:div w:id="1063333195">
                          <w:marLeft w:val="0"/>
                          <w:marRight w:val="0"/>
                          <w:marTop w:val="480"/>
                          <w:marBottom w:val="480"/>
                          <w:divBdr>
                            <w:top w:val="none" w:sz="0" w:space="0" w:color="auto"/>
                            <w:left w:val="single" w:sz="48" w:space="12" w:color="B1B4B6"/>
                            <w:bottom w:val="none" w:sz="0" w:space="0" w:color="auto"/>
                            <w:right w:val="none" w:sz="0" w:space="0" w:color="auto"/>
                          </w:divBdr>
                        </w:div>
                        <w:div w:id="1144931490">
                          <w:marLeft w:val="0"/>
                          <w:marRight w:val="0"/>
                          <w:marTop w:val="480"/>
                          <w:marBottom w:val="480"/>
                          <w:divBdr>
                            <w:top w:val="none" w:sz="0" w:space="0" w:color="auto"/>
                            <w:left w:val="single" w:sz="48" w:space="12" w:color="B1B4B6"/>
                            <w:bottom w:val="none" w:sz="0" w:space="0" w:color="auto"/>
                            <w:right w:val="none" w:sz="0" w:space="0" w:color="auto"/>
                          </w:divBdr>
                        </w:div>
                        <w:div w:id="1193111864">
                          <w:marLeft w:val="0"/>
                          <w:marRight w:val="0"/>
                          <w:marTop w:val="480"/>
                          <w:marBottom w:val="480"/>
                          <w:divBdr>
                            <w:top w:val="none" w:sz="0" w:space="0" w:color="auto"/>
                            <w:left w:val="single" w:sz="48" w:space="12" w:color="B1B4B6"/>
                            <w:bottom w:val="none" w:sz="0" w:space="0" w:color="auto"/>
                            <w:right w:val="none" w:sz="0" w:space="0" w:color="auto"/>
                          </w:divBdr>
                        </w:div>
                        <w:div w:id="1406293668">
                          <w:marLeft w:val="0"/>
                          <w:marRight w:val="0"/>
                          <w:marTop w:val="480"/>
                          <w:marBottom w:val="480"/>
                          <w:divBdr>
                            <w:top w:val="none" w:sz="0" w:space="0" w:color="auto"/>
                            <w:left w:val="single" w:sz="48" w:space="12" w:color="B1B4B6"/>
                            <w:bottom w:val="none" w:sz="0" w:space="0" w:color="auto"/>
                            <w:right w:val="none" w:sz="0" w:space="0" w:color="auto"/>
                          </w:divBdr>
                        </w:div>
                        <w:div w:id="1683510850">
                          <w:marLeft w:val="0"/>
                          <w:marRight w:val="0"/>
                          <w:marTop w:val="480"/>
                          <w:marBottom w:val="480"/>
                          <w:divBdr>
                            <w:top w:val="none" w:sz="0" w:space="0" w:color="auto"/>
                            <w:left w:val="single" w:sz="48" w:space="12" w:color="B1B4B6"/>
                            <w:bottom w:val="none" w:sz="0" w:space="0" w:color="auto"/>
                            <w:right w:val="none" w:sz="0" w:space="0" w:color="auto"/>
                          </w:divBdr>
                        </w:div>
                        <w:div w:id="1697534290">
                          <w:marLeft w:val="0"/>
                          <w:marRight w:val="0"/>
                          <w:marTop w:val="480"/>
                          <w:marBottom w:val="480"/>
                          <w:divBdr>
                            <w:top w:val="none" w:sz="0" w:space="0" w:color="auto"/>
                            <w:left w:val="single" w:sz="48" w:space="12" w:color="B1B4B6"/>
                            <w:bottom w:val="none" w:sz="0" w:space="0" w:color="auto"/>
                            <w:right w:val="none" w:sz="0" w:space="0" w:color="auto"/>
                          </w:divBdr>
                        </w:div>
                        <w:div w:id="1708411733">
                          <w:marLeft w:val="0"/>
                          <w:marRight w:val="0"/>
                          <w:marTop w:val="480"/>
                          <w:marBottom w:val="480"/>
                          <w:divBdr>
                            <w:top w:val="none" w:sz="0" w:space="0" w:color="auto"/>
                            <w:left w:val="single" w:sz="48" w:space="12" w:color="B1B4B6"/>
                            <w:bottom w:val="none" w:sz="0" w:space="0" w:color="auto"/>
                            <w:right w:val="none" w:sz="0" w:space="0" w:color="auto"/>
                          </w:divBdr>
                        </w:div>
                        <w:div w:id="1770352165">
                          <w:marLeft w:val="0"/>
                          <w:marRight w:val="0"/>
                          <w:marTop w:val="480"/>
                          <w:marBottom w:val="480"/>
                          <w:divBdr>
                            <w:top w:val="none" w:sz="0" w:space="0" w:color="auto"/>
                            <w:left w:val="single" w:sz="48" w:space="12" w:color="B1B4B6"/>
                            <w:bottom w:val="none" w:sz="0" w:space="0" w:color="auto"/>
                            <w:right w:val="none" w:sz="0" w:space="0" w:color="auto"/>
                          </w:divBdr>
                        </w:div>
                        <w:div w:id="1841919088">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sChild>
            </w:div>
          </w:divsChild>
        </w:div>
      </w:divsChild>
    </w:div>
    <w:div w:id="1405369545">
      <w:bodyDiv w:val="1"/>
      <w:marLeft w:val="0"/>
      <w:marRight w:val="0"/>
      <w:marTop w:val="0"/>
      <w:marBottom w:val="0"/>
      <w:divBdr>
        <w:top w:val="none" w:sz="0" w:space="0" w:color="auto"/>
        <w:left w:val="none" w:sz="0" w:space="0" w:color="auto"/>
        <w:bottom w:val="none" w:sz="0" w:space="0" w:color="auto"/>
        <w:right w:val="none" w:sz="0" w:space="0" w:color="auto"/>
      </w:divBdr>
    </w:div>
    <w:div w:id="1602496264">
      <w:bodyDiv w:val="1"/>
      <w:marLeft w:val="0"/>
      <w:marRight w:val="0"/>
      <w:marTop w:val="0"/>
      <w:marBottom w:val="0"/>
      <w:divBdr>
        <w:top w:val="none" w:sz="0" w:space="0" w:color="auto"/>
        <w:left w:val="none" w:sz="0" w:space="0" w:color="auto"/>
        <w:bottom w:val="none" w:sz="0" w:space="0" w:color="auto"/>
        <w:right w:val="none" w:sz="0" w:space="0" w:color="auto"/>
      </w:divBdr>
    </w:div>
    <w:div w:id="2142844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ols-financial-benchmarking.service.gov.uk/" TargetMode="External"/><Relationship Id="rId13" Type="http://schemas.openxmlformats.org/officeDocument/2006/relationships/hyperlink" Target="https://schools-financial-benchmarking.service.gov.uk/" TargetMode="External"/><Relationship Id="rId18" Type="http://schemas.openxmlformats.org/officeDocument/2006/relationships/hyperlink" Target="https://schools-financial-benchmarking.service.gov.uk/" TargetMode="External"/><Relationship Id="rId3" Type="http://schemas.openxmlformats.org/officeDocument/2006/relationships/styles" Target="styles.xml"/><Relationship Id="rId21" Type="http://schemas.openxmlformats.org/officeDocument/2006/relationships/hyperlink" Target="https://www.gov.uk/school-performance-tables" TargetMode="External"/><Relationship Id="rId7" Type="http://schemas.openxmlformats.org/officeDocument/2006/relationships/hyperlink" Target="https://foldr.lsp.org.uk/public/NQG2V" TargetMode="External"/><Relationship Id="rId12" Type="http://schemas.openxmlformats.org/officeDocument/2006/relationships/hyperlink" Target="https://foldr.lsp.org.uk/public/N22ZV"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foldr.lsp.org.uk/home/files/School%20Business%20Managers/Trust%20Wide/Information%20for%202022-23%20Budgets/Benchmarking%20and%20Resource%20Management%20Charts" TargetMode="External"/><Relationship Id="rId20" Type="http://schemas.openxmlformats.org/officeDocument/2006/relationships/hyperlink" Target="https://www.gov.uk/government/publications/deals-for-schools/deals-for-schools" TargetMode="External"/><Relationship Id="rId1" Type="http://schemas.openxmlformats.org/officeDocument/2006/relationships/customXml" Target="../customXml/item1.xml"/><Relationship Id="rId6" Type="http://schemas.openxmlformats.org/officeDocument/2006/relationships/hyperlink" Target="https://foldr.lsp.org.uk/public/NOD27"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compare-school-performance.service.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www.gov.uk/school-performance-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2A41-F4B3-47DB-8816-CC532D45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6764</Words>
  <Characters>38560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Warneford Thomson</dc:creator>
  <cp:keywords/>
  <dc:description/>
  <cp:lastModifiedBy>Sue Warneford Thomson</cp:lastModifiedBy>
  <cp:revision>2</cp:revision>
  <dcterms:created xsi:type="dcterms:W3CDTF">2023-04-03T11:27:00Z</dcterms:created>
  <dcterms:modified xsi:type="dcterms:W3CDTF">2023-04-03T11:27:00Z</dcterms:modified>
</cp:coreProperties>
</file>